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40" w:lineRule="exact"/>
        <w:ind w:left="0" w:leftChars="0"/>
        <w:jc w:val="center"/>
        <w:textAlignment w:val="auto"/>
        <w:rPr>
          <w:rFonts w:hint="eastAsia" w:ascii="方正小标宋简体" w:hAnsi="方正小标宋简体" w:eastAsia="方正小标宋简体" w:cs="方正小标宋简体"/>
          <w:b w:val="0"/>
          <w:bCs w:val="0"/>
          <w:color w:val="auto"/>
          <w:spacing w:val="20"/>
          <w:sz w:val="36"/>
          <w:szCs w:val="36"/>
        </w:rPr>
      </w:pPr>
      <w:r>
        <w:rPr>
          <w:rFonts w:hint="eastAsia" w:ascii="方正小标宋简体" w:hAnsi="方正小标宋简体" w:eastAsia="方正小标宋简体" w:cs="方正小标宋简体"/>
          <w:b w:val="0"/>
          <w:bCs w:val="0"/>
          <w:color w:val="auto"/>
          <w:spacing w:val="20"/>
          <w:sz w:val="36"/>
          <w:szCs w:val="36"/>
          <w:lang w:eastAsia="zh-CN"/>
        </w:rPr>
        <w:t>2023年</w:t>
      </w:r>
      <w:r>
        <w:rPr>
          <w:rFonts w:hint="eastAsia" w:ascii="方正小标宋简体" w:hAnsi="方正小标宋简体" w:eastAsia="方正小标宋简体" w:cs="方正小标宋简体"/>
          <w:b w:val="0"/>
          <w:bCs w:val="0"/>
          <w:color w:val="auto"/>
          <w:spacing w:val="20"/>
          <w:sz w:val="36"/>
          <w:szCs w:val="36"/>
        </w:rPr>
        <w:t>海口市国民经济和社会发展统计公报</w:t>
      </w:r>
    </w:p>
    <w:p>
      <w:pPr>
        <w:keepNext w:val="0"/>
        <w:keepLines w:val="0"/>
        <w:pageBreakBefore w:val="0"/>
        <w:widowControl/>
        <w:kinsoku/>
        <w:wordWrap/>
        <w:overflowPunct/>
        <w:topLinePunct w:val="0"/>
        <w:autoSpaceDE/>
        <w:autoSpaceDN/>
        <w:bidi w:val="0"/>
        <w:adjustRightInd/>
        <w:snapToGrid/>
        <w:spacing w:line="540" w:lineRule="exact"/>
        <w:ind w:left="0" w:leftChars="0" w:firstLine="560" w:firstLineChars="200"/>
        <w:jc w:val="left"/>
        <w:textAlignment w:val="auto"/>
        <w:rPr>
          <w:rFonts w:hint="eastAsia" w:ascii="仿宋" w:hAnsi="仿宋" w:eastAsia="仿宋" w:cs="仿宋"/>
          <w:color w:val="auto"/>
          <w:kern w:val="2"/>
          <w:sz w:val="28"/>
          <w:szCs w:val="28"/>
        </w:rPr>
      </w:pPr>
    </w:p>
    <w:p>
      <w:pPr>
        <w:keepNext w:val="0"/>
        <w:keepLines w:val="0"/>
        <w:pageBreakBefore w:val="0"/>
        <w:widowControl/>
        <w:kinsoku/>
        <w:wordWrap/>
        <w:overflowPunct/>
        <w:topLinePunct w:val="0"/>
        <w:autoSpaceDE/>
        <w:autoSpaceDN/>
        <w:bidi w:val="0"/>
        <w:adjustRightInd/>
        <w:snapToGrid/>
        <w:spacing w:line="540" w:lineRule="exact"/>
        <w:ind w:left="0" w:leftChars="0" w:firstLine="560" w:firstLineChars="200"/>
        <w:jc w:val="left"/>
        <w:textAlignment w:val="auto"/>
        <w:rPr>
          <w:rFonts w:hint="eastAsia" w:ascii="仿宋" w:hAnsi="仿宋" w:eastAsia="仿宋" w:cs="仿宋"/>
          <w:color w:val="auto"/>
          <w:kern w:val="2"/>
          <w:sz w:val="28"/>
          <w:szCs w:val="28"/>
        </w:rPr>
      </w:pP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jc w:val="left"/>
        <w:textAlignment w:val="baseline"/>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是全面贯彻党的二十大精神的开局之年，是加紧封关运作准备、加速经济回升、加压奋进突破的攻坚之年。一年来，全市高举习近平新时代中国特色社会主义思想伟大旗帜，深入学习贯彻党的二十大精神，在市委、市政府的正确领导下，完整、准确、全面贯彻新发展理念，牢牢把握高质量发展首要任务和构建新发展格局战略任务，聚焦海南自贸港核心区建设目标，稳农业、强工业、扩内需、促开放，经济社会发展取得明显成效。</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left"/>
        <w:textAlignment w:val="auto"/>
        <w:rPr>
          <w:rFonts w:hint="eastAsia" w:ascii="黑体" w:hAnsi="黑体" w:eastAsia="黑体" w:cs="黑体"/>
          <w:b w:val="0"/>
          <w:bCs/>
          <w:color w:val="auto"/>
          <w:spacing w:val="20"/>
          <w:sz w:val="32"/>
          <w:szCs w:val="32"/>
        </w:rPr>
      </w:pPr>
      <w:r>
        <w:rPr>
          <w:rFonts w:hint="eastAsia" w:ascii="黑体" w:hAnsi="黑体" w:eastAsia="黑体" w:cs="黑体"/>
          <w:b w:val="0"/>
          <w:bCs/>
          <w:color w:val="auto"/>
          <w:spacing w:val="20"/>
          <w:sz w:val="32"/>
          <w:szCs w:val="32"/>
          <w:shd w:val="clear" w:color="auto" w:fill="FFFFFF"/>
        </w:rPr>
        <w:t>一、综合</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left"/>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（一）地区生产总值</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jc w:val="both"/>
        <w:textAlignment w:val="baseline"/>
        <w:rPr>
          <w:rFonts w:hint="eastAsia" w:ascii="仿宋_GB2312" w:hAnsi="仿宋_GB2312" w:eastAsia="仿宋_GB2312" w:cs="仿宋_GB2312"/>
          <w:color w:val="auto"/>
          <w:sz w:val="32"/>
          <w:szCs w:val="32"/>
          <w:lang w:val="en" w:eastAsia="zh-CN" w:bidi="ar-SA"/>
        </w:rPr>
      </w:pPr>
      <w:r>
        <w:rPr>
          <w:rFonts w:hint="eastAsia" w:ascii="仿宋_GB2312" w:hAnsi="仿宋_GB2312" w:eastAsia="仿宋_GB2312" w:cs="仿宋_GB2312"/>
          <w:color w:val="auto"/>
          <w:sz w:val="32"/>
          <w:szCs w:val="32"/>
          <w:lang w:val="en" w:eastAsia="zh-CN" w:bidi="ar-SA"/>
        </w:rPr>
        <w:t>初步核算，2023年实现地区生产总值</w:t>
      </w:r>
      <w:r>
        <w:rPr>
          <w:rFonts w:hint="default" w:ascii="仿宋_GB2312" w:hAnsi="仿宋_GB2312" w:eastAsia="仿宋_GB2312" w:cs="仿宋_GB2312"/>
          <w:color w:val="auto"/>
          <w:sz w:val="32"/>
          <w:szCs w:val="32"/>
          <w:lang w:eastAsia="zh-CN" w:bidi="ar-SA"/>
        </w:rPr>
        <w:t>2358.44</w:t>
      </w:r>
      <w:r>
        <w:rPr>
          <w:rFonts w:hint="eastAsia" w:ascii="仿宋_GB2312" w:hAnsi="仿宋_GB2312" w:eastAsia="仿宋_GB2312" w:cs="仿宋_GB2312"/>
          <w:color w:val="auto"/>
          <w:sz w:val="32"/>
          <w:szCs w:val="32"/>
          <w:lang w:val="en" w:eastAsia="zh-CN" w:bidi="ar-SA"/>
        </w:rPr>
        <w:t>亿元，按可比价格计算，比上年增长</w:t>
      </w:r>
      <w:r>
        <w:rPr>
          <w:rFonts w:hint="default" w:ascii="仿宋_GB2312" w:hAnsi="仿宋_GB2312" w:eastAsia="仿宋_GB2312" w:cs="仿宋_GB2312"/>
          <w:color w:val="auto"/>
          <w:sz w:val="32"/>
          <w:szCs w:val="32"/>
          <w:lang w:eastAsia="zh-CN" w:bidi="ar-SA"/>
        </w:rPr>
        <w:t>9.3</w:t>
      </w:r>
      <w:r>
        <w:rPr>
          <w:rFonts w:hint="eastAsia" w:ascii="仿宋_GB2312" w:hAnsi="仿宋_GB2312" w:eastAsia="仿宋_GB2312" w:cs="仿宋_GB2312"/>
          <w:color w:val="auto"/>
          <w:sz w:val="32"/>
          <w:szCs w:val="32"/>
          <w:lang w:val="en" w:eastAsia="zh-CN" w:bidi="ar-SA"/>
        </w:rPr>
        <w:t>%。按产业分，第一产业增加值</w:t>
      </w:r>
      <w:r>
        <w:rPr>
          <w:rFonts w:hint="default" w:ascii="仿宋_GB2312" w:hAnsi="仿宋_GB2312" w:eastAsia="仿宋_GB2312" w:cs="仿宋_GB2312"/>
          <w:color w:val="auto"/>
          <w:sz w:val="32"/>
          <w:szCs w:val="32"/>
          <w:lang w:eastAsia="zh-CN" w:bidi="ar-SA"/>
        </w:rPr>
        <w:t>103.48</w:t>
      </w:r>
      <w:r>
        <w:rPr>
          <w:rFonts w:hint="eastAsia" w:ascii="仿宋_GB2312" w:hAnsi="仿宋_GB2312" w:eastAsia="仿宋_GB2312" w:cs="仿宋_GB2312"/>
          <w:color w:val="auto"/>
          <w:sz w:val="32"/>
          <w:szCs w:val="32"/>
          <w:lang w:val="en" w:eastAsia="zh-CN" w:bidi="ar-SA"/>
        </w:rPr>
        <w:t>亿元，增长</w:t>
      </w:r>
      <w:r>
        <w:rPr>
          <w:rFonts w:hint="default" w:ascii="仿宋_GB2312" w:hAnsi="仿宋_GB2312" w:eastAsia="仿宋_GB2312" w:cs="仿宋_GB2312"/>
          <w:color w:val="auto"/>
          <w:sz w:val="32"/>
          <w:szCs w:val="32"/>
          <w:lang w:eastAsia="zh-CN" w:bidi="ar-SA"/>
        </w:rPr>
        <w:t>4.5</w:t>
      </w:r>
      <w:r>
        <w:rPr>
          <w:rFonts w:hint="eastAsia" w:ascii="仿宋_GB2312" w:hAnsi="仿宋_GB2312" w:eastAsia="仿宋_GB2312" w:cs="仿宋_GB2312"/>
          <w:color w:val="auto"/>
          <w:sz w:val="32"/>
          <w:szCs w:val="32"/>
          <w:lang w:val="en" w:eastAsia="zh-CN" w:bidi="ar-SA"/>
        </w:rPr>
        <w:t>%；第二产业增加值</w:t>
      </w:r>
      <w:r>
        <w:rPr>
          <w:rFonts w:hint="default" w:ascii="仿宋_GB2312" w:hAnsi="仿宋_GB2312" w:eastAsia="仿宋_GB2312" w:cs="仿宋_GB2312"/>
          <w:color w:val="auto"/>
          <w:sz w:val="32"/>
          <w:szCs w:val="32"/>
          <w:lang w:eastAsia="zh-CN" w:bidi="ar-SA"/>
        </w:rPr>
        <w:t>432.92</w:t>
      </w:r>
      <w:r>
        <w:rPr>
          <w:rFonts w:hint="eastAsia" w:ascii="仿宋_GB2312" w:hAnsi="仿宋_GB2312" w:eastAsia="仿宋_GB2312" w:cs="仿宋_GB2312"/>
          <w:color w:val="auto"/>
          <w:sz w:val="32"/>
          <w:szCs w:val="32"/>
          <w:lang w:val="en" w:eastAsia="zh-CN" w:bidi="ar-SA"/>
        </w:rPr>
        <w:t>亿元，增长</w:t>
      </w:r>
      <w:r>
        <w:rPr>
          <w:rFonts w:hint="default" w:ascii="仿宋_GB2312" w:hAnsi="仿宋_GB2312" w:eastAsia="仿宋_GB2312" w:cs="仿宋_GB2312"/>
          <w:color w:val="auto"/>
          <w:sz w:val="32"/>
          <w:szCs w:val="32"/>
          <w:lang w:eastAsia="zh-CN" w:bidi="ar-SA"/>
        </w:rPr>
        <w:t>7.6</w:t>
      </w:r>
      <w:r>
        <w:rPr>
          <w:rFonts w:hint="eastAsia" w:ascii="仿宋_GB2312" w:hAnsi="仿宋_GB2312" w:eastAsia="仿宋_GB2312" w:cs="仿宋_GB2312"/>
          <w:color w:val="auto"/>
          <w:sz w:val="32"/>
          <w:szCs w:val="32"/>
          <w:lang w:val="en" w:eastAsia="zh-CN" w:bidi="ar-SA"/>
        </w:rPr>
        <w:t>%；第三产业增加值</w:t>
      </w:r>
      <w:r>
        <w:rPr>
          <w:rFonts w:hint="default" w:ascii="仿宋_GB2312" w:hAnsi="仿宋_GB2312" w:eastAsia="仿宋_GB2312" w:cs="仿宋_GB2312"/>
          <w:color w:val="auto"/>
          <w:sz w:val="32"/>
          <w:szCs w:val="32"/>
          <w:lang w:eastAsia="zh-CN" w:bidi="ar-SA"/>
        </w:rPr>
        <w:t>1822.03</w:t>
      </w:r>
      <w:r>
        <w:rPr>
          <w:rFonts w:hint="eastAsia" w:ascii="仿宋_GB2312" w:hAnsi="仿宋_GB2312" w:eastAsia="仿宋_GB2312" w:cs="仿宋_GB2312"/>
          <w:color w:val="auto"/>
          <w:sz w:val="32"/>
          <w:szCs w:val="32"/>
          <w:lang w:val="en" w:eastAsia="zh-CN" w:bidi="ar-SA"/>
        </w:rPr>
        <w:t>亿元，增长</w:t>
      </w:r>
      <w:r>
        <w:rPr>
          <w:rFonts w:hint="default" w:ascii="仿宋_GB2312" w:hAnsi="仿宋_GB2312" w:eastAsia="仿宋_GB2312" w:cs="仿宋_GB2312"/>
          <w:color w:val="auto"/>
          <w:sz w:val="32"/>
          <w:szCs w:val="32"/>
          <w:lang w:eastAsia="zh-CN" w:bidi="ar-SA"/>
        </w:rPr>
        <w:t>9.9</w:t>
      </w:r>
      <w:r>
        <w:rPr>
          <w:rFonts w:hint="eastAsia" w:ascii="仿宋_GB2312" w:hAnsi="仿宋_GB2312" w:eastAsia="仿宋_GB2312" w:cs="仿宋_GB2312"/>
          <w:color w:val="auto"/>
          <w:sz w:val="32"/>
          <w:szCs w:val="32"/>
          <w:lang w:val="en" w:eastAsia="zh-CN" w:bidi="ar-SA"/>
        </w:rPr>
        <w:t>%。产业结构持续优化，三次产业结构比为</w:t>
      </w:r>
      <w:r>
        <w:rPr>
          <w:rFonts w:hint="default" w:ascii="仿宋_GB2312" w:hAnsi="仿宋_GB2312" w:eastAsia="仿宋_GB2312" w:cs="仿宋_GB2312"/>
          <w:color w:val="auto"/>
          <w:sz w:val="32"/>
          <w:szCs w:val="32"/>
          <w:lang w:eastAsia="zh-CN" w:bidi="ar-SA"/>
        </w:rPr>
        <w:t>4.4</w:t>
      </w:r>
      <w:r>
        <w:rPr>
          <w:rFonts w:hint="eastAsia" w:ascii="仿宋_GB2312" w:hAnsi="仿宋_GB2312" w:eastAsia="仿宋_GB2312" w:cs="仿宋_GB2312"/>
          <w:color w:val="auto"/>
          <w:sz w:val="32"/>
          <w:szCs w:val="32"/>
          <w:lang w:val="en-US" w:eastAsia="zh-CN" w:bidi="ar-SA"/>
        </w:rPr>
        <w:t>:</w:t>
      </w:r>
      <w:r>
        <w:rPr>
          <w:rFonts w:hint="default" w:ascii="仿宋_GB2312" w:hAnsi="仿宋_GB2312" w:eastAsia="仿宋_GB2312" w:cs="仿宋_GB2312"/>
          <w:color w:val="auto"/>
          <w:sz w:val="32"/>
          <w:szCs w:val="32"/>
          <w:lang w:eastAsia="zh-CN" w:bidi="ar-SA"/>
        </w:rPr>
        <w:t>18.</w:t>
      </w:r>
      <w:r>
        <w:rPr>
          <w:rFonts w:hint="eastAsia" w:ascii="仿宋_GB2312" w:hAnsi="仿宋_GB2312" w:eastAsia="仿宋_GB2312" w:cs="仿宋_GB2312"/>
          <w:color w:val="auto"/>
          <w:sz w:val="32"/>
          <w:szCs w:val="32"/>
          <w:lang w:val="en-US" w:eastAsia="zh-CN" w:bidi="ar-SA"/>
        </w:rPr>
        <w:t>4:</w:t>
      </w:r>
      <w:r>
        <w:rPr>
          <w:rFonts w:hint="default" w:ascii="仿宋_GB2312" w:hAnsi="仿宋_GB2312" w:eastAsia="仿宋_GB2312" w:cs="仿宋_GB2312"/>
          <w:color w:val="auto"/>
          <w:sz w:val="32"/>
          <w:szCs w:val="32"/>
          <w:lang w:eastAsia="zh-CN" w:bidi="ar-SA"/>
        </w:rPr>
        <w:t>77.</w:t>
      </w:r>
      <w:r>
        <w:rPr>
          <w:rFonts w:hint="eastAsia" w:ascii="仿宋_GB2312" w:hAnsi="仿宋_GB2312" w:eastAsia="仿宋_GB2312" w:cs="仿宋_GB2312"/>
          <w:color w:val="auto"/>
          <w:sz w:val="32"/>
          <w:szCs w:val="32"/>
          <w:lang w:val="en-US" w:eastAsia="zh-CN" w:bidi="ar-SA"/>
        </w:rPr>
        <w:t>2</w:t>
      </w:r>
      <w:r>
        <w:rPr>
          <w:rFonts w:hint="eastAsia" w:ascii="仿宋_GB2312" w:hAnsi="仿宋_GB2312" w:eastAsia="仿宋_GB2312" w:cs="仿宋_GB2312"/>
          <w:color w:val="auto"/>
          <w:sz w:val="32"/>
          <w:szCs w:val="32"/>
          <w:lang w:val="en" w:eastAsia="zh-CN" w:bidi="ar-SA"/>
        </w:rPr>
        <w:t>；三次产业对经济增长的贡献率分别为</w:t>
      </w:r>
      <w:r>
        <w:rPr>
          <w:rFonts w:hint="default" w:ascii="仿宋_GB2312" w:hAnsi="仿宋_GB2312" w:eastAsia="仿宋_GB2312" w:cs="仿宋_GB2312"/>
          <w:color w:val="auto"/>
          <w:sz w:val="32"/>
          <w:szCs w:val="32"/>
          <w:lang w:eastAsia="zh-CN" w:bidi="ar-SA"/>
        </w:rPr>
        <w:t>2.1</w:t>
      </w:r>
      <w:r>
        <w:rPr>
          <w:rFonts w:hint="eastAsia" w:ascii="仿宋_GB2312" w:hAnsi="仿宋_GB2312" w:eastAsia="仿宋_GB2312" w:cs="仿宋_GB2312"/>
          <w:color w:val="auto"/>
          <w:sz w:val="32"/>
          <w:szCs w:val="32"/>
          <w:lang w:val="en" w:eastAsia="zh-CN" w:bidi="ar-SA"/>
        </w:rPr>
        <w:t>%、</w:t>
      </w:r>
      <w:r>
        <w:rPr>
          <w:rFonts w:hint="default" w:ascii="仿宋_GB2312" w:hAnsi="仿宋_GB2312" w:eastAsia="仿宋_GB2312" w:cs="仿宋_GB2312"/>
          <w:color w:val="auto"/>
          <w:sz w:val="32"/>
          <w:szCs w:val="32"/>
          <w:lang w:eastAsia="zh-CN" w:bidi="ar-SA"/>
        </w:rPr>
        <w:t>14.1</w:t>
      </w:r>
      <w:r>
        <w:rPr>
          <w:rFonts w:hint="eastAsia" w:ascii="仿宋_GB2312" w:hAnsi="仿宋_GB2312" w:eastAsia="仿宋_GB2312" w:cs="仿宋_GB2312"/>
          <w:color w:val="auto"/>
          <w:sz w:val="32"/>
          <w:szCs w:val="32"/>
          <w:lang w:val="en" w:eastAsia="zh-CN" w:bidi="ar-SA"/>
        </w:rPr>
        <w:t>%和</w:t>
      </w:r>
      <w:r>
        <w:rPr>
          <w:rFonts w:hint="default" w:ascii="仿宋_GB2312" w:hAnsi="仿宋_GB2312" w:eastAsia="仿宋_GB2312" w:cs="仿宋_GB2312"/>
          <w:color w:val="auto"/>
          <w:sz w:val="32"/>
          <w:szCs w:val="32"/>
          <w:lang w:eastAsia="zh-CN" w:bidi="ar-SA"/>
        </w:rPr>
        <w:t>83.8</w:t>
      </w:r>
      <w:r>
        <w:rPr>
          <w:rFonts w:hint="eastAsia" w:ascii="仿宋_GB2312" w:hAnsi="仿宋_GB2312" w:eastAsia="仿宋_GB2312" w:cs="仿宋_GB2312"/>
          <w:color w:val="auto"/>
          <w:sz w:val="32"/>
          <w:szCs w:val="32"/>
          <w:lang w:val="en" w:eastAsia="zh-CN" w:bidi="ar-SA"/>
        </w:rPr>
        <w:t>%。</w:t>
      </w:r>
    </w:p>
    <w:p>
      <w:pPr>
        <w:ind w:left="0" w:leftChars="0" w:firstLine="480" w:firstLineChars="200"/>
        <w:jc w:val="both"/>
        <w:rPr>
          <w:rFonts w:hint="eastAsia" w:ascii="仿宋" w:hAnsi="仿宋" w:eastAsia="仿宋" w:cs="仿宋"/>
          <w:color w:val="auto"/>
          <w:spacing w:val="20"/>
          <w:sz w:val="28"/>
          <w:szCs w:val="28"/>
          <w:shd w:val="clear" w:color="auto" w:fill="FFFFFF"/>
        </w:rPr>
      </w:pPr>
      <w:r>
        <w:drawing>
          <wp:inline distT="0" distB="0" distL="114300" distR="114300">
            <wp:extent cx="4572000" cy="2066925"/>
            <wp:effectExtent l="0" t="0" r="0" b="952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5"/>
                    <a:stretch>
                      <a:fillRect/>
                    </a:stretch>
                  </pic:blipFill>
                  <pic:spPr>
                    <a:xfrm>
                      <a:off x="0" y="0"/>
                      <a:ext cx="4572000" cy="20669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lang w:eastAsia="zh-CN"/>
        </w:rPr>
      </w:pPr>
      <w:r>
        <w:rPr>
          <w:rFonts w:hint="eastAsia" w:ascii="楷体" w:hAnsi="楷体" w:eastAsia="楷体" w:cs="楷体"/>
          <w:b w:val="0"/>
          <w:bCs/>
          <w:color w:val="auto"/>
          <w:spacing w:val="20"/>
          <w:sz w:val="32"/>
          <w:szCs w:val="32"/>
        </w:rPr>
        <w:t>（二）财政收支</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textAlignment w:val="baseline"/>
        <w:rPr>
          <w:rFonts w:hint="eastAsia" w:ascii="仿宋_GB2312" w:hAnsi="仿宋_GB2312" w:eastAsia="仿宋_GB2312" w:cs="仿宋_GB2312"/>
          <w:color w:val="auto"/>
          <w:sz w:val="32"/>
          <w:szCs w:val="32"/>
          <w:lang w:val="en" w:eastAsia="zh-CN" w:bidi="ar-SA"/>
        </w:rPr>
      </w:pPr>
      <w:r>
        <w:rPr>
          <w:rFonts w:hint="eastAsia" w:ascii="仿宋_GB2312" w:hAnsi="仿宋_GB2312" w:eastAsia="仿宋_GB2312" w:cs="仿宋_GB2312"/>
          <w:color w:val="auto"/>
          <w:sz w:val="32"/>
          <w:szCs w:val="32"/>
          <w:lang w:val="en-US" w:eastAsia="zh-CN" w:bidi="ar-SA"/>
        </w:rPr>
        <w:t>2023年，</w:t>
      </w:r>
      <w:r>
        <w:rPr>
          <w:rFonts w:hint="eastAsia" w:ascii="仿宋_GB2312" w:hAnsi="仿宋_GB2312" w:eastAsia="仿宋_GB2312" w:cs="仿宋_GB2312"/>
          <w:color w:val="auto"/>
          <w:sz w:val="32"/>
          <w:szCs w:val="32"/>
          <w:lang w:val="en" w:eastAsia="zh-CN" w:bidi="ar-SA"/>
        </w:rPr>
        <w:t>全市全口径一般公共预算收入597.6亿元，比上年增长8%。其中地方一般公共预算收入266.9亿元，同口径增长8%。在地方一般公共预算收入中，实现税收收入224.2亿元，同口径增长1.8%，其中国内增值税73.8亿元，增长48.3%；企业所得税35.9亿元，下降11%；个人所得税19.1亿元，下降17.2%；土地增值税33.9亿元，同口径下降24.2%。</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textAlignment w:val="baseline"/>
        <w:rPr>
          <w:rFonts w:hint="eastAsia" w:ascii="仿宋_GB2312" w:hAnsi="仿宋_GB2312" w:eastAsia="仿宋_GB2312" w:cs="仿宋_GB2312"/>
          <w:color w:val="auto"/>
          <w:sz w:val="32"/>
          <w:szCs w:val="32"/>
          <w:lang w:val="en" w:eastAsia="zh-CN" w:bidi="ar-SA"/>
        </w:rPr>
      </w:pPr>
      <w:r>
        <w:rPr>
          <w:rFonts w:hint="eastAsia" w:ascii="仿宋_GB2312" w:hAnsi="仿宋_GB2312" w:eastAsia="仿宋_GB2312" w:cs="仿宋_GB2312"/>
          <w:color w:val="auto"/>
          <w:sz w:val="32"/>
          <w:szCs w:val="32"/>
          <w:lang w:val="en" w:eastAsia="zh-CN" w:bidi="ar-SA"/>
        </w:rPr>
        <w:t>全年地方一般公共预算支出378亿元，比上年增长13.6%。全年财政民生支出269.3亿元，占地方一般公共预算支出的71.3%。其中教育支出55亿元，增长13.8%；社会保障和就业支出53.7亿元，增长26.7%；卫生健康支出33.5亿元，增长3.1%；城乡社区支出54.1亿元，下降12.9%；农林水支出20.4亿元，增长7.2%；交通运输支出7.8亿元，下降14.3%；住房保障支出32亿元，增长194.2%；文化旅游体育与传媒支出5.7亿元，增长20.3%；节能环保支出6.3亿元，增长38.7%；粮油物资储备支出0.8亿元，增长74.6%。</w:t>
      </w:r>
    </w:p>
    <w:p>
      <w:pPr>
        <w:jc w:val="center"/>
        <w:rPr>
          <w:rFonts w:hint="eastAsia" w:ascii="楷体" w:hAnsi="楷体" w:eastAsia="楷体" w:cs="楷体"/>
          <w:b w:val="0"/>
          <w:bCs/>
          <w:snapToGrid w:val="0"/>
          <w:color w:val="auto"/>
          <w:spacing w:val="20"/>
          <w:sz w:val="32"/>
          <w:szCs w:val="32"/>
        </w:rPr>
      </w:pPr>
      <w:r>
        <w:rPr>
          <w:color w:val="auto"/>
        </w:rPr>
        <w:drawing>
          <wp:inline distT="0" distB="0" distL="114300" distR="114300">
            <wp:extent cx="5019675" cy="2886075"/>
            <wp:effectExtent l="0" t="0" r="9525" b="9525"/>
            <wp:docPr id="2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7"/>
                    <pic:cNvPicPr>
                      <a:picLocks noChangeAspect="1"/>
                    </pic:cNvPicPr>
                  </pic:nvPicPr>
                  <pic:blipFill>
                    <a:blip r:embed="rId6"/>
                    <a:stretch>
                      <a:fillRect/>
                    </a:stretch>
                  </pic:blipFill>
                  <pic:spPr>
                    <a:xfrm>
                      <a:off x="0" y="0"/>
                      <a:ext cx="5019675" cy="28860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snapToGrid w:val="0"/>
          <w:color w:val="auto"/>
          <w:spacing w:val="20"/>
          <w:sz w:val="32"/>
          <w:szCs w:val="32"/>
          <w:lang w:eastAsia="zh-CN"/>
        </w:rPr>
      </w:pPr>
      <w:r>
        <w:rPr>
          <w:rFonts w:hint="eastAsia" w:ascii="楷体" w:hAnsi="楷体" w:eastAsia="楷体" w:cs="楷体"/>
          <w:b w:val="0"/>
          <w:bCs/>
          <w:snapToGrid w:val="0"/>
          <w:color w:val="auto"/>
          <w:spacing w:val="20"/>
          <w:sz w:val="32"/>
          <w:szCs w:val="32"/>
        </w:rPr>
        <w:t>（三）固定资产投资</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jc w:val="both"/>
        <w:textAlignment w:val="baseline"/>
        <w:rPr>
          <w:rFonts w:hint="eastAsia" w:ascii="仿宋_GB2312" w:hAnsi="仿宋_GB2312" w:eastAsia="仿宋_GB2312" w:cs="仿宋_GB2312"/>
          <w:color w:val="auto"/>
          <w:sz w:val="32"/>
          <w:szCs w:val="32"/>
          <w:lang w:val="en" w:eastAsia="zh-CN" w:bidi="ar-SA"/>
        </w:rPr>
      </w:pPr>
      <w:r>
        <w:rPr>
          <w:rFonts w:hint="eastAsia" w:ascii="仿宋_GB2312" w:hAnsi="仿宋_GB2312" w:eastAsia="仿宋_GB2312" w:cs="仿宋_GB2312"/>
          <w:color w:val="auto"/>
          <w:sz w:val="32"/>
          <w:szCs w:val="32"/>
          <w:lang w:val="en" w:eastAsia="zh-CN" w:bidi="ar-SA"/>
        </w:rPr>
        <w:t>2023年，全力推进封关项目，扎实做好涉及我市9个封关运作项目建设准备。对2023年政府投资项目目标执行情况进行亮牌，跟踪重大社会投资项目落实情况，激活社会资本，逐步提升产业投资项目比例。服务我市省重点项目53个，总投资1227.4亿元，完成年度投资217.4亿元。作为海南自由贸易港建设项目集中开工活动主会场，2023年度两批集中开工项目共32个，总投资233.4亿元。</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jc w:val="both"/>
        <w:textAlignment w:val="baseline"/>
        <w:rPr>
          <w:rFonts w:hint="eastAsia"/>
          <w:color w:val="auto"/>
        </w:rPr>
      </w:pPr>
      <w:r>
        <w:rPr>
          <w:rFonts w:hint="eastAsia" w:ascii="仿宋_GB2312" w:hAnsi="仿宋_GB2312" w:eastAsia="仿宋_GB2312" w:cs="仿宋_GB2312"/>
          <w:color w:val="000000" w:themeColor="text1"/>
          <w:sz w:val="32"/>
          <w:szCs w:val="32"/>
          <w:lang w:val="en" w:eastAsia="zh-CN" w:bidi="ar-SA"/>
          <w14:textFill>
            <w14:solidFill>
              <w14:schemeClr w14:val="tx1"/>
            </w14:solidFill>
          </w14:textFill>
        </w:rPr>
        <w:t>全年完成固定资产投资比上年增长</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4.7</w:t>
      </w:r>
      <w:r>
        <w:rPr>
          <w:rFonts w:hint="eastAsia" w:ascii="仿宋_GB2312" w:hAnsi="仿宋_GB2312" w:eastAsia="仿宋_GB2312" w:cs="仿宋_GB2312"/>
          <w:color w:val="000000" w:themeColor="text1"/>
          <w:sz w:val="32"/>
          <w:szCs w:val="32"/>
          <w:lang w:val="en" w:eastAsia="zh-CN" w:bidi="ar-SA"/>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bidi="ar-SA"/>
          <w14:textFill>
            <w14:solidFill>
              <w14:schemeClr w14:val="tx1"/>
            </w14:solidFill>
          </w14:textFill>
        </w:rPr>
        <w:t>其中：房地产开发投资增长10.1%，非房投资增长1.4%，房地产开发与非房项目结构比为39.9:60.1。分产业看，第一产业投资下降15.8%，第二产业投资增长16%，第三产业投资增长3.1%，三次产业投资比例为0.2:14.3:85.5。</w:t>
      </w:r>
    </w:p>
    <w:p>
      <w:pPr>
        <w:pStyle w:val="32"/>
        <w:ind w:left="0" w:leftChars="0" w:firstLine="0" w:firstLineChars="0"/>
        <w:jc w:val="center"/>
        <w:rPr>
          <w:rFonts w:hint="eastAsia" w:ascii="楷体" w:hAnsi="楷体" w:eastAsia="楷体" w:cs="楷体"/>
          <w:b w:val="0"/>
          <w:bCs/>
          <w:color w:val="auto"/>
          <w:spacing w:val="20"/>
          <w:sz w:val="32"/>
          <w:szCs w:val="32"/>
          <w:shd w:val="clear" w:color="auto" w:fill="FFFFFF"/>
        </w:rPr>
      </w:pPr>
      <w:r>
        <w:drawing>
          <wp:inline distT="0" distB="0" distL="114300" distR="114300">
            <wp:extent cx="4257675" cy="2047875"/>
            <wp:effectExtent l="0" t="0" r="9525" b="952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7"/>
                    <a:stretch>
                      <a:fillRect/>
                    </a:stretch>
                  </pic:blipFill>
                  <pic:spPr>
                    <a:xfrm>
                      <a:off x="0" y="0"/>
                      <a:ext cx="4257675" cy="20478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rPr>
      </w:pPr>
      <w:r>
        <w:rPr>
          <w:rFonts w:hint="eastAsia" w:ascii="楷体" w:hAnsi="楷体" w:eastAsia="楷体" w:cs="楷体"/>
          <w:b w:val="0"/>
          <w:bCs/>
          <w:color w:val="auto"/>
          <w:spacing w:val="20"/>
          <w:sz w:val="32"/>
          <w:szCs w:val="32"/>
          <w:shd w:val="clear" w:color="auto" w:fill="FFFFFF"/>
        </w:rPr>
        <w:t>（四）</w:t>
      </w:r>
      <w:r>
        <w:rPr>
          <w:rFonts w:hint="eastAsia" w:ascii="楷体" w:hAnsi="楷体" w:eastAsia="楷体" w:cs="楷体"/>
          <w:b w:val="0"/>
          <w:bCs/>
          <w:color w:val="auto"/>
          <w:spacing w:val="20"/>
          <w:sz w:val="32"/>
          <w:szCs w:val="32"/>
        </w:rPr>
        <w:t>居民消费价格</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textAlignment w:val="baseline"/>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海口市居民消费价格比上年上涨0.3%。分类别看，食品烟酒价格上涨2.1%，衣着价格下降0.5%，居住价格下降1.7%，生活用品及服务价格上涨1.3%，交通和通信价格下降1.7%，教育文化娱乐价格上涨1.7%，医疗保健价格下降1.3%，其他用品和服务价格上涨2.1%。</w:t>
      </w:r>
    </w:p>
    <w:p>
      <w:pPr>
        <w:pStyle w:val="32"/>
        <w:keepNext w:val="0"/>
        <w:keepLines w:val="0"/>
        <w:pageBreakBefore w:val="0"/>
        <w:widowControl/>
        <w:kinsoku/>
        <w:wordWrap/>
        <w:overflowPunct/>
        <w:topLinePunct w:val="0"/>
        <w:autoSpaceDE/>
        <w:autoSpaceDN/>
        <w:bidi w:val="0"/>
        <w:adjustRightInd/>
        <w:snapToGrid/>
        <w:spacing w:after="0" w:line="540" w:lineRule="exact"/>
        <w:ind w:left="0" w:leftChars="0"/>
        <w:textAlignment w:val="baseline"/>
        <w:rPr>
          <w:rFonts w:hint="eastAsia" w:ascii="仿宋" w:hAnsi="仿宋" w:eastAsia="仿宋" w:cs="仿宋"/>
          <w:color w:val="auto"/>
          <w:spacing w:val="20"/>
          <w:sz w:val="32"/>
          <w:szCs w:val="32"/>
          <w:shd w:val="clear" w:color="auto" w:fill="FFFFFF"/>
          <w:lang w:eastAsia="zh-CN"/>
        </w:rPr>
      </w:pPr>
    </w:p>
    <w:tbl>
      <w:tblPr>
        <w:tblStyle w:val="26"/>
        <w:tblW w:w="8539" w:type="dxa"/>
        <w:jc w:val="center"/>
        <w:tblLayout w:type="fixed"/>
        <w:tblCellMar>
          <w:top w:w="0" w:type="dxa"/>
          <w:left w:w="108" w:type="dxa"/>
          <w:bottom w:w="0" w:type="dxa"/>
          <w:right w:w="108" w:type="dxa"/>
        </w:tblCellMar>
      </w:tblPr>
      <w:tblGrid>
        <w:gridCol w:w="5144"/>
        <w:gridCol w:w="3395"/>
      </w:tblGrid>
      <w:tr>
        <w:tblPrEx>
          <w:tblCellMar>
            <w:top w:w="0" w:type="dxa"/>
            <w:left w:w="108" w:type="dxa"/>
            <w:bottom w:w="0" w:type="dxa"/>
            <w:right w:w="108" w:type="dxa"/>
          </w:tblCellMar>
        </w:tblPrEx>
        <w:trPr>
          <w:trHeight w:val="399" w:hRule="exact"/>
          <w:jc w:val="center"/>
        </w:trPr>
        <w:tc>
          <w:tcPr>
            <w:tcW w:w="8539" w:type="dxa"/>
            <w:gridSpan w:val="2"/>
            <w:tcBorders>
              <w:top w:val="nil"/>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lang w:eastAsia="zh-CN"/>
              </w:rPr>
              <w:t>表</w:t>
            </w:r>
            <w:r>
              <w:rPr>
                <w:rFonts w:hint="eastAsia" w:ascii="仿宋" w:hAnsi="仿宋" w:eastAsia="仿宋" w:cs="仿宋"/>
                <w:color w:val="auto"/>
                <w:spacing w:val="20"/>
                <w:sz w:val="28"/>
                <w:szCs w:val="28"/>
                <w:lang w:val="en-US" w:eastAsia="zh-CN"/>
              </w:rPr>
              <w:t>1：</w:t>
            </w:r>
            <w:r>
              <w:rPr>
                <w:rFonts w:hint="eastAsia" w:ascii="仿宋" w:hAnsi="仿宋" w:eastAsia="仿宋" w:cs="仿宋"/>
                <w:color w:val="auto"/>
                <w:spacing w:val="20"/>
                <w:sz w:val="28"/>
                <w:szCs w:val="28"/>
              </w:rPr>
              <w:t>居民消费价格指数（CPI）</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指标名称</w:t>
            </w:r>
          </w:p>
        </w:tc>
        <w:tc>
          <w:tcPr>
            <w:tcW w:w="3395"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center"/>
              <w:textAlignment w:val="auto"/>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 xml:space="preserve">  2023年涨跌幅（%）</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居民消费价格指数</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0.3</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一、食品烟酒</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2.1</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粮食</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0.9</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食用油</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1.1</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鲜菜</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2.8</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畜肉类</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-4.5</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禽肉类</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default" w:ascii="仿宋" w:hAnsi="仿宋" w:eastAsia="仿宋" w:cs="仿宋"/>
                <w:color w:val="auto"/>
                <w:spacing w:val="20"/>
                <w:sz w:val="28"/>
                <w:szCs w:val="28"/>
                <w:lang w:val="en-US" w:eastAsia="zh-CN"/>
              </w:rPr>
              <w:t>4.7</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水产品</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7.1</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蛋类</w:t>
            </w:r>
          </w:p>
        </w:tc>
        <w:tc>
          <w:tcPr>
            <w:tcW w:w="3395" w:type="dxa"/>
            <w:tcBorders>
              <w:top w:val="nil"/>
              <w:left w:val="nil"/>
              <w:bottom w:val="single" w:color="auto"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7.7</w:t>
            </w:r>
          </w:p>
        </w:tc>
      </w:tr>
      <w:tr>
        <w:tblPrEx>
          <w:tblCellMar>
            <w:top w:w="0" w:type="dxa"/>
            <w:left w:w="108" w:type="dxa"/>
            <w:bottom w:w="0" w:type="dxa"/>
            <w:right w:w="108" w:type="dxa"/>
          </w:tblCellMar>
        </w:tblPrEx>
        <w:trPr>
          <w:trHeight w:val="399" w:hRule="exact"/>
          <w:jc w:val="center"/>
        </w:trPr>
        <w:tc>
          <w:tcPr>
            <w:tcW w:w="5144" w:type="dxa"/>
            <w:tcBorders>
              <w:top w:val="single" w:color="auto" w:sz="4" w:space="0"/>
              <w:left w:val="nil"/>
              <w:bottom w:val="single" w:color="auto"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奶类</w:t>
            </w:r>
          </w:p>
        </w:tc>
        <w:tc>
          <w:tcPr>
            <w:tcW w:w="3395" w:type="dxa"/>
            <w:tcBorders>
              <w:top w:val="single" w:color="auto" w:sz="4" w:space="0"/>
              <w:left w:val="nil"/>
              <w:bottom w:val="single" w:color="auto"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3.0</w:t>
            </w:r>
          </w:p>
        </w:tc>
      </w:tr>
      <w:tr>
        <w:tblPrEx>
          <w:tblCellMar>
            <w:top w:w="0" w:type="dxa"/>
            <w:left w:w="108" w:type="dxa"/>
            <w:bottom w:w="0" w:type="dxa"/>
            <w:right w:w="108" w:type="dxa"/>
          </w:tblCellMar>
        </w:tblPrEx>
        <w:trPr>
          <w:trHeight w:val="399" w:hRule="exact"/>
          <w:jc w:val="center"/>
        </w:trPr>
        <w:tc>
          <w:tcPr>
            <w:tcW w:w="5144" w:type="dxa"/>
            <w:tcBorders>
              <w:top w:val="single" w:color="auto"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鲜果</w:t>
            </w:r>
          </w:p>
        </w:tc>
        <w:tc>
          <w:tcPr>
            <w:tcW w:w="3395" w:type="dxa"/>
            <w:tcBorders>
              <w:top w:val="single" w:color="auto"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4.3</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lang w:eastAsia="zh-CN"/>
              </w:rPr>
            </w:pPr>
            <w:r>
              <w:rPr>
                <w:rFonts w:hint="eastAsia" w:ascii="仿宋" w:hAnsi="仿宋" w:eastAsia="仿宋" w:cs="仿宋"/>
                <w:color w:val="auto"/>
                <w:spacing w:val="20"/>
                <w:sz w:val="28"/>
                <w:szCs w:val="28"/>
                <w:lang w:eastAsia="zh-CN"/>
              </w:rPr>
              <w:t>卷烟</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0.4</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酒类</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2.0</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二、衣着</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-0.5</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三、居住</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-1.7</w:t>
            </w:r>
          </w:p>
        </w:tc>
      </w:tr>
      <w:tr>
        <w:tblPrEx>
          <w:tblCellMar>
            <w:top w:w="0" w:type="dxa"/>
            <w:left w:w="108" w:type="dxa"/>
            <w:bottom w:w="0" w:type="dxa"/>
            <w:right w:w="108" w:type="dxa"/>
          </w:tblCellMar>
        </w:tblPrEx>
        <w:trPr>
          <w:trHeight w:val="399" w:hRule="exact"/>
          <w:jc w:val="center"/>
        </w:trPr>
        <w:tc>
          <w:tcPr>
            <w:tcW w:w="5144" w:type="dxa"/>
            <w:tcBorders>
              <w:top w:val="nil"/>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四、生活用品及服务</w:t>
            </w:r>
          </w:p>
        </w:tc>
        <w:tc>
          <w:tcPr>
            <w:tcW w:w="3395" w:type="dxa"/>
            <w:tcBorders>
              <w:top w:val="nil"/>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1.3</w:t>
            </w:r>
          </w:p>
        </w:tc>
      </w:tr>
      <w:tr>
        <w:tblPrEx>
          <w:tblCellMar>
            <w:top w:w="0" w:type="dxa"/>
            <w:left w:w="108" w:type="dxa"/>
            <w:bottom w:w="0" w:type="dxa"/>
            <w:right w:w="108" w:type="dxa"/>
          </w:tblCellMar>
        </w:tblPrEx>
        <w:trPr>
          <w:trHeight w:val="399" w:hRule="exact"/>
          <w:jc w:val="center"/>
        </w:trPr>
        <w:tc>
          <w:tcPr>
            <w:tcW w:w="51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五、交通和通信</w:t>
            </w:r>
          </w:p>
        </w:tc>
        <w:tc>
          <w:tcPr>
            <w:tcW w:w="3395"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-1.7</w:t>
            </w:r>
          </w:p>
        </w:tc>
      </w:tr>
      <w:tr>
        <w:tblPrEx>
          <w:tblCellMar>
            <w:top w:w="0" w:type="dxa"/>
            <w:left w:w="108" w:type="dxa"/>
            <w:bottom w:w="0" w:type="dxa"/>
            <w:right w:w="108" w:type="dxa"/>
          </w:tblCellMar>
        </w:tblPrEx>
        <w:trPr>
          <w:trHeight w:val="399" w:hRule="exact"/>
          <w:jc w:val="center"/>
        </w:trPr>
        <w:tc>
          <w:tcPr>
            <w:tcW w:w="51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六、教育文化和娱乐</w:t>
            </w:r>
          </w:p>
        </w:tc>
        <w:tc>
          <w:tcPr>
            <w:tcW w:w="3395"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1.7</w:t>
            </w:r>
          </w:p>
        </w:tc>
      </w:tr>
      <w:tr>
        <w:tblPrEx>
          <w:tblCellMar>
            <w:top w:w="0" w:type="dxa"/>
            <w:left w:w="108" w:type="dxa"/>
            <w:bottom w:w="0" w:type="dxa"/>
            <w:right w:w="108" w:type="dxa"/>
          </w:tblCellMar>
        </w:tblPrEx>
        <w:trPr>
          <w:trHeight w:val="399" w:hRule="exact"/>
          <w:jc w:val="center"/>
        </w:trPr>
        <w:tc>
          <w:tcPr>
            <w:tcW w:w="51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七、医疗保健</w:t>
            </w:r>
          </w:p>
        </w:tc>
        <w:tc>
          <w:tcPr>
            <w:tcW w:w="3395"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-1.3</w:t>
            </w:r>
          </w:p>
        </w:tc>
      </w:tr>
      <w:tr>
        <w:tblPrEx>
          <w:tblCellMar>
            <w:top w:w="0" w:type="dxa"/>
            <w:left w:w="108" w:type="dxa"/>
            <w:bottom w:w="0" w:type="dxa"/>
            <w:right w:w="108" w:type="dxa"/>
          </w:tblCellMar>
        </w:tblPrEx>
        <w:trPr>
          <w:trHeight w:val="531" w:hRule="exact"/>
          <w:jc w:val="center"/>
        </w:trPr>
        <w:tc>
          <w:tcPr>
            <w:tcW w:w="5144" w:type="dxa"/>
            <w:tcBorders>
              <w:top w:val="single" w:color="000000" w:sz="4" w:space="0"/>
              <w:left w:val="nil"/>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jc w:val="both"/>
              <w:textAlignment w:val="auto"/>
              <w:rPr>
                <w:rFonts w:hint="eastAsia" w:ascii="仿宋" w:hAnsi="仿宋" w:eastAsia="仿宋" w:cs="仿宋"/>
                <w:color w:val="auto"/>
                <w:spacing w:val="20"/>
                <w:sz w:val="28"/>
                <w:szCs w:val="28"/>
              </w:rPr>
            </w:pPr>
            <w:r>
              <w:rPr>
                <w:rFonts w:hint="eastAsia" w:ascii="仿宋" w:hAnsi="仿宋" w:eastAsia="仿宋" w:cs="仿宋"/>
                <w:color w:val="auto"/>
                <w:spacing w:val="20"/>
                <w:sz w:val="28"/>
                <w:szCs w:val="28"/>
              </w:rPr>
              <w:t>八、其他用品和服务</w:t>
            </w:r>
          </w:p>
        </w:tc>
        <w:tc>
          <w:tcPr>
            <w:tcW w:w="3395" w:type="dxa"/>
            <w:tcBorders>
              <w:top w:val="single" w:color="000000" w:sz="4" w:space="0"/>
              <w:left w:val="nil"/>
              <w:bottom w:val="single" w:color="000000" w:sz="4" w:space="0"/>
              <w:right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 w:hAnsi="仿宋" w:eastAsia="仿宋" w:cs="仿宋"/>
                <w:color w:val="auto"/>
                <w:spacing w:val="20"/>
                <w:sz w:val="28"/>
                <w:szCs w:val="28"/>
                <w:lang w:val="en-US" w:eastAsia="zh-CN"/>
              </w:rPr>
            </w:pPr>
            <w:r>
              <w:rPr>
                <w:rFonts w:hint="eastAsia" w:ascii="仿宋" w:hAnsi="仿宋" w:eastAsia="仿宋" w:cs="仿宋"/>
                <w:color w:val="auto"/>
                <w:spacing w:val="20"/>
                <w:sz w:val="28"/>
                <w:szCs w:val="28"/>
                <w:lang w:val="en-US" w:eastAsia="zh-CN"/>
              </w:rPr>
              <w:t>2.1</w:t>
            </w:r>
          </w:p>
        </w:tc>
      </w:tr>
    </w:tbl>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楷体" w:hAnsi="楷体" w:eastAsia="楷体" w:cs="楷体"/>
          <w:b w:val="0"/>
          <w:bCs/>
          <w:color w:val="auto"/>
          <w:spacing w:val="20"/>
          <w:sz w:val="32"/>
          <w:szCs w:val="32"/>
          <w:shd w:val="clear" w:color="auto" w:fill="FFFFFF"/>
        </w:rPr>
      </w:pP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（五）</w:t>
      </w:r>
      <w:r>
        <w:rPr>
          <w:rFonts w:hint="eastAsia" w:ascii="楷体" w:hAnsi="楷体" w:eastAsia="楷体" w:cs="楷体"/>
          <w:b w:val="0"/>
          <w:bCs/>
          <w:color w:val="auto"/>
          <w:spacing w:val="20"/>
          <w:sz w:val="32"/>
          <w:szCs w:val="32"/>
          <w:shd w:val="clear" w:color="auto" w:fill="FFFFFF"/>
        </w:rPr>
        <w:t>江东新区建设</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江东新区在建重点项目161个（政府投资92个，社会投资项目69个），总投资1373亿元（政府投资575亿元，社会投资798亿元）。中海油区域总部54个项目开工；实现美兰机场快速通道等33个项目完工。CBD起步区项目建设驶入快车道，中石油区域总部、大唐综合能源站等6个项目开工，4个项目完工。京东智能产业园一期等2个项目完工，片区形象逐渐成型。总部经济方面，已签约落地重点企业多家，其中济南域潇、赤峰九天等为重资产投资项目，自贸港政策效应进一步凸显。8月1日GSBN-海贸服务平台散货跨境贸易海运电子提单首单落地，国际贸易、离岸贸易等业务进一步壮大。临空经济累计招引航空客运、跨境贸易、航空物流、仓储物流、融资租赁等领域企业63家。2023年围绕将美兰机场打造成面向太平洋、印度洋的航空区域门户枢纽，不断加密国际航线，研究出台航空货运产业扶持政策，提升机场能力。</w:t>
      </w:r>
    </w:p>
    <w:p>
      <w:pPr>
        <w:keepNext w:val="0"/>
        <w:keepLines w:val="0"/>
        <w:pageBreakBefore w:val="0"/>
        <w:widowControl/>
        <w:kinsoku/>
        <w:wordWrap/>
        <w:overflowPunct/>
        <w:topLinePunct w:val="0"/>
        <w:autoSpaceDE/>
        <w:autoSpaceDN/>
        <w:bidi w:val="0"/>
        <w:adjustRightInd/>
        <w:snapToGrid/>
        <w:spacing w:line="540" w:lineRule="exact"/>
        <w:ind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二、人民生活和民生事业</w:t>
      </w:r>
    </w:p>
    <w:p>
      <w:pPr>
        <w:keepNext w:val="0"/>
        <w:keepLines w:val="0"/>
        <w:pageBreakBefore w:val="0"/>
        <w:widowControl/>
        <w:kinsoku/>
        <w:wordWrap/>
        <w:overflowPunct/>
        <w:topLinePunct w:val="0"/>
        <w:autoSpaceDE/>
        <w:autoSpaceDN/>
        <w:bidi w:val="0"/>
        <w:adjustRightInd/>
        <w:snapToGrid/>
        <w:spacing w:line="540" w:lineRule="exact"/>
        <w:ind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（一）居民收入</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2023年，海口市居民人均可支配收入40962元，较上年增长6.8%。其中人均工资性收入26837元，增长6.3%；人均经营净收入5347元，增长11.2%；人均财产净收入3381元，增长6.6%；人均转移净收入5397元，增长5.1%。</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城镇居民人均可支配收入46321元，较上年增长6.4%。其中人均工资性收入31112元，增长5.8%；人均经营净收入4898元，增长13.2%；人均财产净收入4103元，增长6.4%；人均转移净收入6208元，增长4.4%。</w:t>
      </w:r>
    </w:p>
    <w:p>
      <w:pPr>
        <w:widowControl w:val="0"/>
        <w:jc w:val="center"/>
        <w:rPr>
          <w:rFonts w:hint="eastAsia" w:ascii="仿宋" w:hAnsi="仿宋" w:eastAsia="仿宋" w:cs="仿宋"/>
          <w:color w:val="auto"/>
          <w:spacing w:val="20"/>
          <w:sz w:val="28"/>
          <w:szCs w:val="28"/>
          <w:shd w:val="clear" w:color="auto" w:fill="FFFFFF"/>
        </w:rPr>
      </w:pPr>
      <w:r>
        <w:rPr>
          <w:color w:val="auto"/>
        </w:rPr>
        <w:drawing>
          <wp:inline distT="0" distB="0" distL="114300" distR="114300">
            <wp:extent cx="4867275" cy="3333750"/>
            <wp:effectExtent l="0" t="0" r="9525" b="0"/>
            <wp:docPr id="2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5"/>
                    <pic:cNvPicPr>
                      <a:picLocks noChangeAspect="1"/>
                    </pic:cNvPicPr>
                  </pic:nvPicPr>
                  <pic:blipFill>
                    <a:blip r:embed="rId8"/>
                    <a:stretch>
                      <a:fillRect/>
                    </a:stretch>
                  </pic:blipFill>
                  <pic:spPr>
                    <a:xfrm>
                      <a:off x="0" y="0"/>
                      <a:ext cx="4867275" cy="3333750"/>
                    </a:xfrm>
                    <a:prstGeom prst="rect">
                      <a:avLst/>
                    </a:prstGeom>
                    <a:noFill/>
                    <a:ln>
                      <a:noFill/>
                    </a:ln>
                  </pic:spPr>
                </pic:pic>
              </a:graphicData>
            </a:graphic>
          </wp:inline>
        </w:drawing>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both"/>
        <w:textAlignment w:val="auto"/>
        <w:rPr>
          <w:color w:val="auto"/>
          <w:sz w:val="32"/>
          <w:szCs w:val="32"/>
        </w:rPr>
      </w:pPr>
      <w:r>
        <w:rPr>
          <w:rFonts w:ascii="仿宋_GB2312" w:hAnsi="仿宋_GB2312" w:eastAsia="仿宋_GB2312" w:cs="仿宋_GB2312"/>
          <w:color w:val="auto"/>
          <w:kern w:val="0"/>
          <w:sz w:val="32"/>
          <w:szCs w:val="32"/>
          <w:lang w:val="en-US" w:eastAsia="zh-CN" w:bidi="ar"/>
        </w:rPr>
        <w:t>农村居民人均可支配收入22203元，比上年增长8.9%。其中人均工资性收入11875元，增长10.1%；人均经营净收入6916元，增长6.6%；人均财产净收入853元，增长7.6%；人均转移净收入2559元，增长10.2%。</w:t>
      </w:r>
    </w:p>
    <w:p>
      <w:pPr>
        <w:widowControl w:val="0"/>
        <w:jc w:val="center"/>
        <w:rPr>
          <w:rFonts w:hint="eastAsia" w:ascii="楷体" w:hAnsi="楷体" w:eastAsia="楷体" w:cs="楷体"/>
          <w:b w:val="0"/>
          <w:bCs/>
          <w:color w:val="auto"/>
          <w:spacing w:val="20"/>
          <w:sz w:val="32"/>
          <w:szCs w:val="32"/>
          <w:shd w:val="clear" w:color="auto" w:fill="FFFFFF"/>
        </w:rPr>
      </w:pPr>
      <w:r>
        <w:rPr>
          <w:color w:val="auto"/>
        </w:rPr>
        <w:drawing>
          <wp:inline distT="0" distB="0" distL="114300" distR="114300">
            <wp:extent cx="4943475" cy="2905125"/>
            <wp:effectExtent l="0" t="0" r="9525" b="9525"/>
            <wp:docPr id="2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4"/>
                    <pic:cNvPicPr>
                      <a:picLocks noChangeAspect="1"/>
                    </pic:cNvPicPr>
                  </pic:nvPicPr>
                  <pic:blipFill>
                    <a:blip r:embed="rId9"/>
                    <a:stretch>
                      <a:fillRect/>
                    </a:stretch>
                  </pic:blipFill>
                  <pic:spPr>
                    <a:xfrm>
                      <a:off x="0" y="0"/>
                      <a:ext cx="4943475" cy="290512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（二）社会保障和就业</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2023年，全市城镇职工基本养老保险参保</w:t>
      </w:r>
      <w:r>
        <w:rPr>
          <w:rFonts w:hint="eastAsia" w:ascii="仿宋_GB2312" w:hAnsi="仿宋_GB2312" w:eastAsia="仿宋_GB2312" w:cs="仿宋_GB2312"/>
          <w:color w:val="auto"/>
          <w:kern w:val="0"/>
          <w:sz w:val="32"/>
          <w:szCs w:val="32"/>
          <w:lang w:val="en-US" w:eastAsia="zh-CN" w:bidi="ar"/>
        </w:rPr>
        <w:t>129.44</w:t>
      </w:r>
      <w:r>
        <w:rPr>
          <w:rFonts w:hint="eastAsia" w:ascii="仿宋_GB2312" w:hAnsi="仿宋_GB2312" w:eastAsia="仿宋_GB2312" w:cs="仿宋_GB2312"/>
          <w:color w:val="auto"/>
          <w:sz w:val="32"/>
          <w:szCs w:val="32"/>
          <w:lang w:val="en-US" w:eastAsia="zh-CN"/>
        </w:rPr>
        <w:t>万人、城乡居民基本医疗保险参保108.17万人、工伤保险参保</w:t>
      </w:r>
      <w:r>
        <w:rPr>
          <w:rFonts w:hint="eastAsia" w:ascii="仿宋_GB2312" w:hAnsi="仿宋_GB2312" w:eastAsia="仿宋_GB2312" w:cs="仿宋_GB2312"/>
          <w:color w:val="auto"/>
          <w:kern w:val="0"/>
          <w:sz w:val="32"/>
          <w:szCs w:val="32"/>
          <w:lang w:val="en-US" w:eastAsia="zh-CN" w:bidi="ar"/>
        </w:rPr>
        <w:t>75.54</w:t>
      </w:r>
      <w:r>
        <w:rPr>
          <w:rFonts w:hint="eastAsia" w:ascii="仿宋_GB2312" w:hAnsi="仿宋_GB2312" w:eastAsia="仿宋_GB2312" w:cs="仿宋_GB2312"/>
          <w:color w:val="auto"/>
          <w:sz w:val="32"/>
          <w:szCs w:val="32"/>
          <w:lang w:val="en-US" w:eastAsia="zh-CN"/>
        </w:rPr>
        <w:t>万人、失业保险参保69.46万人，各险种分别完成年任务的104.79%、102.53%、102.72%、100.52%；城乡居民基本养老保险扩面参保缴费37203人，完成年任务32681人的113.84%。截至11月份，延续实施阶段性降低失业保险、工伤保险费率政策，共减收85469家单位工伤保险费6756.57万元、失业保险费16712万元。2023年，累计使用就业补助专项资金17026.94万元；开展补贴性职业技能培训23840人次，完成年任务2.2万人次的108.36%。</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实现社保卡医保购药应用，在全市推出“社会保障卡椰城惠享季”和“社会保障卡1分钱乘公交”优惠活动。截至12月底，海口市新增制发社保卡9万张，海口地区（含省本级）持卡人数达到248.95万人，电子社保卡人口覆盖率达到75.33%。</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全市就业规模持续扩大，就业质量稳步提升，重点群体就业保持稳定。2023年，全市城镇新增就业64763人，完成全年任务的128.63%；城镇失业人员再就业19732人，完成全年任务的131.98%；就业困难人员实现就业4761人，完成全年任务的158.70%；农村劳动力转移就业6879人，完成全年任务的102.67%。各项指标完成情况较上年度有所提升，就业形势稳中向好。全年创业担保贷款11.46亿元，完成年度目标任务的114.6%，扶持创业者和企业1439个，带动11280人实现就业。</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（三）</w:t>
      </w:r>
      <w:r>
        <w:rPr>
          <w:rFonts w:hint="eastAsia" w:ascii="楷体" w:hAnsi="楷体" w:eastAsia="楷体" w:cs="楷体"/>
          <w:b w:val="0"/>
          <w:bCs/>
          <w:color w:val="auto"/>
          <w:spacing w:val="20"/>
          <w:sz w:val="32"/>
          <w:szCs w:val="32"/>
          <w:shd w:val="clear" w:color="auto" w:fill="FFFFFF"/>
        </w:rPr>
        <w:t>教育</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海口地区共有普通高等教育学校12所，广播电视大学1所，在办中等职业学校25所，普通中学109所，普通小学140所，在办幼儿园574所，特殊教育学校4所。研究生招生5703人，在校生1.64万人，毕业生3886人；普通高校本专科招生6.03万人，在校生18.45万人，毕业生5.06万人；成人本专科招生1.44万人，在校生2.90万人，毕业生1.18万</w:t>
      </w:r>
      <w:bookmarkStart w:id="0" w:name="_GoBack"/>
      <w:bookmarkEnd w:id="0"/>
      <w:r>
        <w:rPr>
          <w:rFonts w:hint="eastAsia" w:ascii="仿宋_GB2312" w:hAnsi="仿宋_GB2312" w:eastAsia="仿宋_GB2312" w:cs="仿宋_GB2312"/>
          <w:color w:val="auto"/>
          <w:sz w:val="32"/>
          <w:szCs w:val="32"/>
          <w:lang w:val="en-US" w:eastAsia="zh-CN"/>
        </w:rPr>
        <w:t>人；中等职业学校（全日制学生）招生2.52万人，在校生7.01万人，毕业生1.95万人；普通高中招生2.24万人，在校生6.38万人，毕业生1.91万人；普通初中招生3.79万人，在校生11.09万人，毕业生3.42万人；普通小学招生4.49万人，在校生25.06万人，毕业生3.66万人；学前教育招生3.71万人，在校生11万人，毕业生4.01万人；特殊教育(含随班就读、送教上门学生)招生249人，在校生1476人，毕业生305人。初中毛入学率为104.71%，小学毛入学率为101.94%。</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（四）医疗卫生</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以健康海口建设为抓手，实施人均预期寿命提升行动计划，推动落实“2+3”健康服务包工作，健全基本公共卫生服务体系，深化医药卫生体制改革，对标海南自由贸易港建设高水平、高标准的医疗服务体系</w:t>
      </w:r>
      <w:r>
        <w:rPr>
          <w:rFonts w:hint="eastAsia" w:ascii="仿宋_GB2312" w:hAnsi="仿宋_GB2312" w:eastAsia="仿宋_GB2312" w:cs="仿宋_GB2312"/>
          <w:color w:val="auto"/>
          <w:sz w:val="32"/>
          <w:szCs w:val="32"/>
          <w:lang w:eastAsia="zh-CN"/>
        </w:rPr>
        <w:t>。2023年全市（省、市、区属各单位）共有各级各类医疗卫生机构1613个。其中，医院78个（专科精神病医院4个），社区卫生服务中心（站）</w:t>
      </w:r>
      <w:r>
        <w:rPr>
          <w:rFonts w:hint="eastAsia" w:ascii="仿宋_GB2312" w:hAnsi="仿宋_GB2312" w:eastAsia="仿宋_GB2312" w:cs="仿宋_GB2312"/>
          <w:color w:val="auto"/>
          <w:sz w:val="32"/>
          <w:szCs w:val="32"/>
          <w:lang w:val="en-US" w:eastAsia="zh-CN"/>
        </w:rPr>
        <w:t>123</w:t>
      </w:r>
      <w:r>
        <w:rPr>
          <w:rFonts w:hint="eastAsia" w:ascii="仿宋_GB2312" w:hAnsi="仿宋_GB2312" w:eastAsia="仿宋_GB2312" w:cs="仿宋_GB2312"/>
          <w:color w:val="auto"/>
          <w:sz w:val="32"/>
          <w:szCs w:val="32"/>
          <w:lang w:eastAsia="zh-CN"/>
        </w:rPr>
        <w:t>家，卫生院</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lang w:eastAsia="zh-CN"/>
        </w:rPr>
        <w:t>家，村卫生室</w:t>
      </w:r>
      <w:r>
        <w:rPr>
          <w:rFonts w:hint="eastAsia" w:ascii="仿宋_GB2312" w:hAnsi="仿宋_GB2312" w:eastAsia="仿宋_GB2312" w:cs="仿宋_GB2312"/>
          <w:color w:val="auto"/>
          <w:sz w:val="32"/>
          <w:szCs w:val="32"/>
          <w:lang w:val="en-US" w:eastAsia="zh-CN"/>
        </w:rPr>
        <w:t>251</w:t>
      </w:r>
      <w:r>
        <w:rPr>
          <w:rFonts w:hint="eastAsia" w:ascii="仿宋_GB2312" w:hAnsi="仿宋_GB2312" w:eastAsia="仿宋_GB2312" w:cs="仿宋_GB2312"/>
          <w:color w:val="auto"/>
          <w:sz w:val="32"/>
          <w:szCs w:val="32"/>
          <w:lang w:eastAsia="zh-CN"/>
        </w:rPr>
        <w:t>家，门诊部211个，诊所、卫生所、医务室865个，疾控预防控制中心6个，专科疾病防治院（所、站）2个，健康教育机构6个，妇幼保健院（所、站）7个，急救中心（站）3个，采供血机构1个，计划生育技术服务机构5个，其他卫生机构14个。共有卫生技术人员37010人。其中，执业（助理）医师13116人，注册护士18170人。共有医疗卫生机构实有床位数20260张。其中，医院17595张，妇幼保健院（所、站）1071张，社区卫生服务中心（站）650张，乡镇卫生院403张，门诊部334张，急救中心（站）7张，其他卫生机构200张。</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（五）</w:t>
      </w:r>
      <w:r>
        <w:rPr>
          <w:rFonts w:hint="eastAsia" w:ascii="楷体" w:hAnsi="楷体" w:eastAsia="楷体" w:cs="楷体"/>
          <w:b w:val="0"/>
          <w:bCs/>
          <w:color w:val="auto"/>
          <w:spacing w:val="20"/>
          <w:sz w:val="32"/>
          <w:szCs w:val="32"/>
          <w:shd w:val="clear" w:color="auto" w:fill="FFFFFF"/>
        </w:rPr>
        <w:t>乡村振兴</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强化防止返贫监测帮扶，守住防止规模性返贫的底线。定期调度通报防返贫监测预警数据，促进脱贫人口持续稳收增收。及时落实帮扶举措，收入下降的脱贫人口比例与2022年度同比，下降11个百分点以上，脱贫人口人均纯收入继续较快增长。依托现有“专馆专区专柜”平台，发动企业助力消费帮扶。2023年我市共实现农产品销售总额达1179.77万元，其中，帮扶产品销售总额1172.61万元。通过开展消费帮扶，扩宽了农户农产品销路，极大促进了农产品产销。</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（六）安全生产</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2023年度，全市生产安全事故起数和死亡人数与2022年同比实现“双下降”。发生各类生产安全事故（以录入生产安全事故统计信息直报系统为准）37起、37人，与2022年相比减少6起、6人，均下降13.9%。</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lang w:eastAsia="zh-CN"/>
        </w:rPr>
        <w:t>三、</w:t>
      </w:r>
      <w:r>
        <w:rPr>
          <w:rFonts w:hint="eastAsia" w:ascii="黑体" w:hAnsi="黑体" w:eastAsia="黑体" w:cs="黑体"/>
          <w:b w:val="0"/>
          <w:bCs/>
          <w:color w:val="auto"/>
          <w:spacing w:val="20"/>
          <w:sz w:val="32"/>
          <w:szCs w:val="32"/>
          <w:shd w:val="clear" w:color="auto" w:fill="FFFFFF"/>
        </w:rPr>
        <w:t>国民经济各行业</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（一）农林牧渔业</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2023年，全市实现农林牧渔业产值168.57亿元，比上年增长5.0%。其中，种植业101.93亿元，增长3.2%；畜牧业37.33亿元，增长13.8%；林业5.64亿元，下降7.3%；渔业13.26亿元，增长0.4%；农林牧渔服务业10.41亿元，增长9.7%。</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全年农作物总播种面积94.63万亩，比上年增长1.8%。粮食播种面积30.14万亩，比上年增长0.8%。油料播种面积4.54万亩，增长9.8%。蔬菜播种面积43.04万亩，增长4.4%。水果种植面积23.75万亩，增长5.1%。橡胶种植面积15.13万亩，下降11.7%。胡椒种植面积5.26万亩，下降1.1%。</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全年粮食总产量达10.3万吨，比上年增长0.5%；油料作物产量0.59万吨，增长9.6%；水果产量27.34万吨，增长5.1%；蔬菜产量57.75万吨，增长3.2%；水产品产量5.14万吨，下降0.4%。生猪出栏量72.34万头，同比增长17.1%；猪肉产量6.22万吨，同比增长13.5%。牛出栏1.69万头、羊出栏7.36万只，分别增长8.9%和4.2%。</w:t>
      </w:r>
    </w:p>
    <w:p>
      <w:pPr>
        <w:keepNext w:val="0"/>
        <w:keepLines w:val="0"/>
        <w:pageBreakBefore w:val="0"/>
        <w:widowControl/>
        <w:kinsoku/>
        <w:wordWrap/>
        <w:overflowPunct/>
        <w:topLinePunct w:val="0"/>
        <w:autoSpaceDE/>
        <w:autoSpaceDN/>
        <w:bidi w:val="0"/>
        <w:adjustRightInd/>
        <w:snapToGrid/>
        <w:spacing w:before="157" w:beforeLines="50"/>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表</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：2023年</w:t>
      </w:r>
      <w:r>
        <w:rPr>
          <w:rFonts w:hint="eastAsia" w:ascii="仿宋" w:hAnsi="仿宋" w:eastAsia="仿宋" w:cs="仿宋"/>
          <w:color w:val="auto"/>
          <w:sz w:val="28"/>
          <w:szCs w:val="28"/>
        </w:rPr>
        <w:t>主要农产品产量及增长速度</w:t>
      </w:r>
    </w:p>
    <w:tbl>
      <w:tblPr>
        <w:tblStyle w:val="26"/>
        <w:tblW w:w="7437" w:type="dxa"/>
        <w:jc w:val="center"/>
        <w:tblLayout w:type="fixed"/>
        <w:tblCellMar>
          <w:top w:w="0" w:type="dxa"/>
          <w:left w:w="108" w:type="dxa"/>
          <w:bottom w:w="0" w:type="dxa"/>
          <w:right w:w="108" w:type="dxa"/>
        </w:tblCellMar>
      </w:tblPr>
      <w:tblGrid>
        <w:gridCol w:w="1546"/>
        <w:gridCol w:w="1060"/>
        <w:gridCol w:w="2489"/>
        <w:gridCol w:w="2342"/>
      </w:tblGrid>
      <w:tr>
        <w:tblPrEx>
          <w:tblCellMar>
            <w:top w:w="0" w:type="dxa"/>
            <w:left w:w="108" w:type="dxa"/>
            <w:bottom w:w="0" w:type="dxa"/>
            <w:right w:w="108" w:type="dxa"/>
          </w:tblCellMar>
        </w:tblPrEx>
        <w:trPr>
          <w:trHeight w:val="510" w:hRule="exact"/>
          <w:jc w:val="center"/>
        </w:trPr>
        <w:tc>
          <w:tcPr>
            <w:tcW w:w="1546"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产品名称</w:t>
            </w:r>
          </w:p>
        </w:tc>
        <w:tc>
          <w:tcPr>
            <w:tcW w:w="1060"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单位</w:t>
            </w:r>
          </w:p>
        </w:tc>
        <w:tc>
          <w:tcPr>
            <w:tcW w:w="2489" w:type="dxa"/>
            <w:tcBorders>
              <w:top w:val="single" w:color="000000" w:sz="8" w:space="0"/>
              <w:left w:val="nil"/>
              <w:bottom w:val="nil"/>
              <w:right w:val="single" w:color="000000" w:sz="8"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产量</w:t>
            </w:r>
          </w:p>
        </w:tc>
        <w:tc>
          <w:tcPr>
            <w:tcW w:w="2342" w:type="dxa"/>
            <w:tcBorders>
              <w:top w:val="single" w:color="000000" w:sz="8" w:space="0"/>
              <w:left w:val="nil"/>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比上</w:t>
            </w:r>
            <w:r>
              <w:rPr>
                <w:rFonts w:hint="eastAsia" w:ascii="仿宋" w:hAnsi="仿宋" w:eastAsia="仿宋" w:cs="仿宋"/>
                <w:color w:val="auto"/>
                <w:sz w:val="28"/>
                <w:szCs w:val="28"/>
                <w:lang w:eastAsia="zh-CN"/>
              </w:rPr>
              <w:t>年</w:t>
            </w:r>
            <w:r>
              <w:rPr>
                <w:rFonts w:hint="eastAsia" w:ascii="仿宋" w:hAnsi="仿宋" w:eastAsia="仿宋" w:cs="仿宋"/>
                <w:color w:val="auto"/>
                <w:sz w:val="28"/>
                <w:szCs w:val="28"/>
              </w:rPr>
              <w:t>增长（%）</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早稻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4.89</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6.3</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晚稻</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rPr>
            </w:pPr>
            <w:r>
              <w:rPr>
                <w:rFonts w:hint="default" w:ascii="仿宋" w:hAnsi="仿宋" w:eastAsia="仿宋" w:cs="仿宋"/>
                <w:color w:val="auto"/>
                <w:sz w:val="28"/>
                <w:szCs w:val="28"/>
                <w:lang w:eastAsia="zh-CN"/>
              </w:rPr>
              <w:t>3.7</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-7.5</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油料</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0.59</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9.6</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花生</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0.54</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rPr>
            </w:pPr>
            <w:r>
              <w:rPr>
                <w:rFonts w:hint="default" w:ascii="仿宋" w:hAnsi="仿宋" w:eastAsia="仿宋" w:cs="仿宋"/>
                <w:color w:val="auto"/>
                <w:sz w:val="28"/>
                <w:szCs w:val="28"/>
                <w:lang w:eastAsia="zh-CN"/>
              </w:rPr>
              <w:t>11.8</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水果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27.34</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5.1</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蔬菜</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default" w:ascii="仿宋" w:hAnsi="仿宋" w:eastAsia="仿宋" w:cs="仿宋"/>
                <w:color w:val="auto"/>
                <w:sz w:val="28"/>
                <w:szCs w:val="28"/>
                <w:lang w:val="en-US" w:eastAsia="zh-CN"/>
              </w:rPr>
            </w:pPr>
            <w:r>
              <w:rPr>
                <w:rFonts w:hint="default" w:ascii="仿宋" w:hAnsi="仿宋" w:eastAsia="仿宋" w:cs="仿宋"/>
                <w:color w:val="auto"/>
                <w:sz w:val="28"/>
                <w:szCs w:val="28"/>
                <w:lang w:eastAsia="zh-CN"/>
              </w:rPr>
              <w:t>57.75</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3.2</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橡胶</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0.39</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eastAsia="zh-CN"/>
              </w:rPr>
            </w:pPr>
            <w:r>
              <w:rPr>
                <w:rFonts w:hint="default" w:ascii="仿宋" w:hAnsi="仿宋" w:eastAsia="仿宋" w:cs="仿宋"/>
                <w:color w:val="auto"/>
                <w:sz w:val="28"/>
                <w:szCs w:val="28"/>
                <w:lang w:eastAsia="zh-CN"/>
              </w:rPr>
              <w:t>-8.7</w:t>
            </w:r>
          </w:p>
        </w:tc>
      </w:tr>
      <w:tr>
        <w:tblPrEx>
          <w:tblCellMar>
            <w:top w:w="0" w:type="dxa"/>
            <w:left w:w="108" w:type="dxa"/>
            <w:bottom w:w="0" w:type="dxa"/>
            <w:right w:w="108" w:type="dxa"/>
          </w:tblCellMar>
        </w:tblPrEx>
        <w:trPr>
          <w:trHeight w:val="510" w:hRule="exact"/>
          <w:jc w:val="center"/>
        </w:trPr>
        <w:tc>
          <w:tcPr>
            <w:tcW w:w="154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胡椒</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万吨</w:t>
            </w:r>
          </w:p>
        </w:tc>
        <w:tc>
          <w:tcPr>
            <w:tcW w:w="248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bidi="ar-SA"/>
              </w:rPr>
            </w:pPr>
            <w:r>
              <w:rPr>
                <w:rFonts w:hint="default" w:ascii="仿宋" w:hAnsi="仿宋" w:eastAsia="仿宋" w:cs="仿宋"/>
                <w:color w:val="auto"/>
                <w:sz w:val="28"/>
                <w:szCs w:val="28"/>
                <w:lang w:eastAsia="zh-CN"/>
              </w:rPr>
              <w:t>0.51</w:t>
            </w:r>
          </w:p>
        </w:tc>
        <w:tc>
          <w:tcPr>
            <w:tcW w:w="2342"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560" w:lineRule="exact"/>
              <w:ind w:left="0" w:leftChars="0"/>
              <w:jc w:val="center"/>
              <w:textAlignment w:val="auto"/>
              <w:rPr>
                <w:rFonts w:hint="eastAsia" w:ascii="仿宋" w:hAnsi="仿宋" w:eastAsia="仿宋" w:cs="仿宋"/>
                <w:color w:val="auto"/>
                <w:sz w:val="28"/>
                <w:szCs w:val="28"/>
                <w:lang w:val="en-US" w:eastAsia="zh-CN" w:bidi="ar-SA"/>
              </w:rPr>
            </w:pPr>
            <w:r>
              <w:rPr>
                <w:rFonts w:hint="default" w:ascii="仿宋" w:hAnsi="仿宋" w:eastAsia="仿宋" w:cs="仿宋"/>
                <w:color w:val="auto"/>
                <w:sz w:val="28"/>
                <w:szCs w:val="28"/>
                <w:lang w:eastAsia="zh-CN"/>
              </w:rPr>
              <w:t>11</w:t>
            </w:r>
          </w:p>
        </w:tc>
      </w:tr>
    </w:tbl>
    <w:p>
      <w:pPr>
        <w:ind w:left="0" w:leftChars="0"/>
        <w:jc w:val="center"/>
        <w:rPr>
          <w:color w:val="auto"/>
        </w:rPr>
      </w:pPr>
    </w:p>
    <w:p>
      <w:pPr>
        <w:ind w:left="0" w:leftChars="0"/>
        <w:jc w:val="center"/>
        <w:rPr>
          <w:rFonts w:hint="eastAsia"/>
          <w:color w:val="auto"/>
        </w:rPr>
      </w:pPr>
      <w:r>
        <w:rPr>
          <w:color w:val="auto"/>
        </w:rPr>
        <w:drawing>
          <wp:inline distT="0" distB="0" distL="114300" distR="114300">
            <wp:extent cx="4238625" cy="2447925"/>
            <wp:effectExtent l="0" t="0" r="9525" b="9525"/>
            <wp:docPr id="2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3"/>
                    <pic:cNvPicPr>
                      <a:picLocks noChangeAspect="1"/>
                    </pic:cNvPicPr>
                  </pic:nvPicPr>
                  <pic:blipFill>
                    <a:blip r:embed="rId10"/>
                    <a:stretch>
                      <a:fillRect/>
                    </a:stretch>
                  </pic:blipFill>
                  <pic:spPr>
                    <a:xfrm>
                      <a:off x="0" y="0"/>
                      <a:ext cx="4238625" cy="24479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（二）工业和建筑业</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1.工业</w:t>
      </w:r>
    </w:p>
    <w:p>
      <w:pPr>
        <w:pStyle w:val="32"/>
        <w:keepNext w:val="0"/>
        <w:keepLines w:val="0"/>
        <w:pageBreakBefore w:val="0"/>
        <w:widowControl w:val="0"/>
        <w:kinsoku/>
        <w:wordWrap/>
        <w:overflowPunct/>
        <w:topLinePunct w:val="0"/>
        <w:autoSpaceDE/>
        <w:autoSpaceDN/>
        <w:bidi w:val="0"/>
        <w:adjustRightInd/>
        <w:snapToGrid/>
        <w:spacing w:after="0" w:line="540" w:lineRule="exact"/>
        <w:ind w:left="0" w:leftChars="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我市工业经济整体稳步增长，全市规模以上工业企业有213家，比上年增加17家；实现规模以上工业总产值885.11亿元，同比增长14.5%。其中产值超十亿元的企业有18家，超亿元的企业有111家。产值超亿元企业共完成工业产值843.45亿元，占全市规模以上工业总产值的95.3%。</w:t>
      </w:r>
    </w:p>
    <w:p>
      <w:pPr>
        <w:pStyle w:val="32"/>
        <w:keepNext w:val="0"/>
        <w:keepLines w:val="0"/>
        <w:pageBreakBefore w:val="0"/>
        <w:widowControl w:val="0"/>
        <w:kinsoku/>
        <w:wordWrap/>
        <w:overflowPunct/>
        <w:topLinePunct w:val="0"/>
        <w:autoSpaceDE/>
        <w:autoSpaceDN/>
        <w:bidi w:val="0"/>
        <w:adjustRightInd/>
        <w:snapToGrid/>
        <w:spacing w:after="0" w:line="540" w:lineRule="exact"/>
        <w:ind w:left="0" w:leftChars="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规模以上工业总产值中，轻工业完成产值490.48亿元，增长19.3%；重工业完成产值394.64亿元，增长16.8%，轻重工业产值之比为55.4:44.6。分行业看，医药制造业完成273.61亿元，增长10.4%；电气机械和器材制造业完成82.31亿元，增长19.1%；汽车制造业完成46.29亿元，增长60.2%；电力、热力生产和供应业完成84.75亿元，增长21.1%；食品制造业完成16.80亿元，增长9.8%；酒、饮料和精制茶制造业完成100.14亿元，增长91.7%；烟草制品业完成41.59亿元，增长2.0%；农副食品加工业完成40.59亿元，下降2.8%。</w:t>
      </w:r>
    </w:p>
    <w:p>
      <w:pPr>
        <w:pStyle w:val="32"/>
        <w:keepNext w:val="0"/>
        <w:keepLines w:val="0"/>
        <w:pageBreakBefore w:val="0"/>
        <w:widowControl w:val="0"/>
        <w:kinsoku/>
        <w:wordWrap/>
        <w:overflowPunct/>
        <w:topLinePunct w:val="0"/>
        <w:autoSpaceDE/>
        <w:autoSpaceDN/>
        <w:bidi w:val="0"/>
        <w:adjustRightInd/>
        <w:snapToGrid/>
        <w:spacing w:after="0" w:line="540" w:lineRule="exact"/>
        <w:ind w:left="0" w:leftChars="0" w:firstLine="640" w:firstLineChars="200"/>
        <w:jc w:val="both"/>
        <w:textAlignment w:val="baseline"/>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2023年，全市规模以上工业增加值同比增长13.8%；全市规模以上工业企业实现销售产值852.15亿元，增长16.8%；全年规上工业产销率为96.3%，比上年下降1.6个百分点。</w:t>
      </w:r>
    </w:p>
    <w:p>
      <w:pPr>
        <w:keepNext w:val="0"/>
        <w:keepLines w:val="0"/>
        <w:pageBreakBefore w:val="0"/>
        <w:widowControl/>
        <w:kinsoku/>
        <w:wordWrap/>
        <w:overflowPunct/>
        <w:topLinePunct w:val="0"/>
        <w:autoSpaceDE/>
        <w:autoSpaceDN/>
        <w:bidi w:val="0"/>
        <w:adjustRightInd/>
        <w:snapToGrid/>
        <w:spacing w:line="540" w:lineRule="exact"/>
        <w:ind w:firstLine="480" w:firstLineChars="200"/>
        <w:jc w:val="both"/>
        <w:textAlignment w:val="auto"/>
        <w:rPr>
          <w:rFonts w:hint="eastAsia" w:ascii="仿宋_GB2312" w:hAnsi="仿宋_GB2312" w:eastAsia="仿宋_GB2312" w:cs="仿宋_GB2312"/>
          <w:color w:val="auto"/>
          <w:sz w:val="32"/>
          <w:szCs w:val="32"/>
          <w:lang w:val="en-US" w:eastAsia="zh-CN"/>
        </w:rPr>
      </w:pPr>
      <w:r>
        <w:rPr>
          <w:color w:val="auto"/>
        </w:rPr>
        <w:drawing>
          <wp:anchor distT="0" distB="0" distL="114300" distR="114300" simplePos="0" relativeHeight="251659264" behindDoc="0" locked="0" layoutInCell="1" allowOverlap="1">
            <wp:simplePos x="0" y="0"/>
            <wp:positionH relativeFrom="column">
              <wp:posOffset>342900</wp:posOffset>
            </wp:positionH>
            <wp:positionV relativeFrom="paragraph">
              <wp:posOffset>121920</wp:posOffset>
            </wp:positionV>
            <wp:extent cx="4381500" cy="2400300"/>
            <wp:effectExtent l="0" t="0" r="0" b="0"/>
            <wp:wrapTopAndBottom/>
            <wp:docPr id="2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
                    <pic:cNvPicPr>
                      <a:picLocks noChangeAspect="1"/>
                    </pic:cNvPicPr>
                  </pic:nvPicPr>
                  <pic:blipFill>
                    <a:blip r:embed="rId11"/>
                    <a:stretch>
                      <a:fillRect/>
                    </a:stretch>
                  </pic:blipFill>
                  <pic:spPr>
                    <a:xfrm>
                      <a:off x="0" y="0"/>
                      <a:ext cx="4381500" cy="2400300"/>
                    </a:xfrm>
                    <a:prstGeom prst="rect">
                      <a:avLst/>
                    </a:prstGeom>
                    <a:noFill/>
                    <a:ln>
                      <a:noFill/>
                    </a:ln>
                  </pic:spPr>
                </pic:pic>
              </a:graphicData>
            </a:graphic>
          </wp:anchor>
        </w:drawing>
      </w:r>
      <w:r>
        <w:rPr>
          <w:rFonts w:hint="eastAsia" w:ascii="仿宋_GB2312" w:hAnsi="仿宋_GB2312" w:eastAsia="仿宋_GB2312" w:cs="仿宋_GB2312"/>
          <w:color w:val="auto"/>
          <w:sz w:val="32"/>
          <w:szCs w:val="32"/>
          <w:lang w:val="en-US" w:eastAsia="zh-CN"/>
        </w:rPr>
        <w:t>2.建筑业</w:t>
      </w:r>
    </w:p>
    <w:p>
      <w:pPr>
        <w:keepNext w:val="0"/>
        <w:keepLines w:val="0"/>
        <w:pageBreakBefore w:val="0"/>
        <w:widowControl/>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2023年，全市建筑业实现增加值</w:t>
      </w:r>
      <w:r>
        <w:rPr>
          <w:rFonts w:hint="default" w:ascii="仿宋_GB2312" w:hAnsi="仿宋_GB2312" w:eastAsia="仿宋_GB2312" w:cs="仿宋_GB2312"/>
          <w:color w:val="000000" w:themeColor="text1"/>
          <w:sz w:val="32"/>
          <w:szCs w:val="32"/>
          <w:lang w:eastAsia="zh-CN"/>
          <w14:textFill>
            <w14:solidFill>
              <w14:schemeClr w14:val="tx1"/>
            </w14:solidFill>
          </w14:textFill>
        </w:rPr>
        <w:t>141.87</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亿元，比上年</w:t>
      </w:r>
      <w:r>
        <w:rPr>
          <w:rFonts w:hint="default" w:ascii="仿宋_GB2312" w:hAnsi="仿宋_GB2312" w:eastAsia="仿宋_GB2312" w:cs="仿宋_GB2312"/>
          <w:color w:val="000000" w:themeColor="text1"/>
          <w:sz w:val="32"/>
          <w:szCs w:val="32"/>
          <w:lang w:eastAsia="zh-CN"/>
          <w14:textFill>
            <w14:solidFill>
              <w14:schemeClr w14:val="tx1"/>
            </w14:solidFill>
          </w14:textFill>
        </w:rPr>
        <w:t>增长0.3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%。全市具有资质等级的建筑业企业单位243个，增长17.4%。期末从业人员3.5万人，下降22.7%。本市资质内建筑企业全年房屋建筑施工面积1213万平方米，下降0.6%；房屋建筑竣工面积292.1万平方米，增长18.0%。</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楷体" w:hAnsi="楷体" w:eastAsia="楷体" w:cs="楷体"/>
          <w:b w:val="0"/>
          <w:bCs/>
          <w:color w:val="auto"/>
          <w:spacing w:val="20"/>
          <w:sz w:val="32"/>
          <w:szCs w:val="32"/>
          <w:shd w:val="clear" w:color="auto" w:fill="FFFFFF"/>
          <w:lang w:val="en-US" w:eastAsia="zh-CN"/>
        </w:rPr>
        <w:t>（三）房地产业</w:t>
      </w:r>
    </w:p>
    <w:p>
      <w:pPr>
        <w:keepNext w:val="0"/>
        <w:keepLines w:val="0"/>
        <w:pageBreakBefore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2023年，全市房地产业完成增加值156.92亿元，比上年增长7.4%。全市商品房施工面积3808.29万平方米，增长7.5%；商品房新开工面积340.45万平方米，下降24%。商品房销售面积319.06万平方米，增长18.4%。</w:t>
      </w:r>
    </w:p>
    <w:p>
      <w:pPr>
        <w:keepNext w:val="0"/>
        <w:keepLines w:val="0"/>
        <w:pageBreakBefore w:val="0"/>
        <w:kinsoku/>
        <w:wordWrap/>
        <w:overflowPunct/>
        <w:topLinePunct w:val="0"/>
        <w:autoSpaceDE/>
        <w:autoSpaceDN/>
        <w:bidi w:val="0"/>
        <w:adjustRightInd/>
        <w:snapToGrid/>
        <w:spacing w:line="540" w:lineRule="exact"/>
        <w:ind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（四）旅游业</w:t>
      </w:r>
    </w:p>
    <w:p>
      <w:pPr>
        <w:pStyle w:val="13"/>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我市持续打造旅游品牌，旅游产业发展提质增效。海口市龙华区、秀英区入选国家文化产业和旅游产业融合发展示范区。海口寰海阁骑楼建筑博物馆民宿入选2023年全国甲级旅游民宿。海口沐心石屋民宿、海口黑豆书屋民宿获评海南省银宿级民宿。海口市西海岸旅游度假区获评省级旅游度假区。海口骑楼-外滩文化街区、海口市日月广场获评第一批海南省夜间文化和旅游消费集聚区。海口三角梅农庄（边洋村）获评海南省五椰级乡村旅游点，蘑法生态农场（仁南村）、雷音体验主题庄园（逢考村）、北姆堆公园（黑山村）获评海南省三椰级乡村旅游点。海口选送的旅游商品在2023年中国特色旅游商品大赛上斩获2金4银8铜的佳绩。</w:t>
      </w:r>
      <w:r>
        <w:rPr>
          <w:rFonts w:hint="eastAsia" w:ascii="仿宋_GB2312" w:hAnsi="仿宋_GB2312" w:eastAsia="仿宋_GB2312" w:cs="仿宋_GB2312"/>
          <w:color w:val="auto"/>
          <w:sz w:val="32"/>
          <w:szCs w:val="32"/>
          <w:lang w:val="zh-CN" w:eastAsia="zh-CN" w:bidi="ar-SA"/>
        </w:rPr>
        <w:t>举办</w:t>
      </w:r>
      <w:r>
        <w:rPr>
          <w:rFonts w:hint="eastAsia" w:ascii="仿宋_GB2312" w:hAnsi="仿宋_GB2312" w:eastAsia="仿宋_GB2312" w:cs="仿宋_GB2312"/>
          <w:color w:val="auto"/>
          <w:sz w:val="32"/>
          <w:szCs w:val="32"/>
          <w:lang w:val="en-US" w:eastAsia="zh-CN" w:bidi="ar-SA"/>
        </w:rPr>
        <w:t>首届海口旅游与文化商品展</w:t>
      </w:r>
      <w:r>
        <w:rPr>
          <w:rFonts w:hint="eastAsia" w:ascii="仿宋_GB2312" w:hAnsi="仿宋_GB2312" w:eastAsia="仿宋_GB2312" w:cs="仿宋_GB2312"/>
          <w:color w:val="auto"/>
          <w:sz w:val="32"/>
          <w:szCs w:val="32"/>
          <w:lang w:val="zh-CN" w:eastAsia="zh-CN" w:bidi="ar-SA"/>
        </w:rPr>
        <w:t>，并探索夜间展会模式，吸引了众多专业观众、市民游客参与。策划举办海南国际旅游岛欢乐节海口主会场活动，</w:t>
      </w:r>
      <w:r>
        <w:rPr>
          <w:rFonts w:hint="eastAsia" w:ascii="仿宋_GB2312" w:hAnsi="仿宋_GB2312" w:eastAsia="仿宋_GB2312" w:cs="仿宋_GB2312"/>
          <w:color w:val="auto"/>
          <w:sz w:val="32"/>
          <w:szCs w:val="32"/>
          <w:lang w:val="en-US" w:eastAsia="zh-CN" w:bidi="ar-SA"/>
        </w:rPr>
        <w:t>推出和引进“欢游海口过大年”、2023年城市海岸派对、“I LOVE 海口·城市音悦时光”、2023年“5·19中国旅游日”海口分会场、海南鸡饭节等特色活动，创意活动融合潮流时尚文化，受到市民游客的喜爱。围绕荔枝等热带果蔬采摘、季节变换、暑期研学等时令性、热门性项目，持续更新和推出一日、二日、三日游等精品旅游线路。围绕“Citywalk”“Cityride”等热门城市游方式，推出“漫游海口”五大精品线路，为市民游客解锁海口花样新玩法，开启海口旅游新体验。</w:t>
      </w:r>
      <w:r>
        <w:rPr>
          <w:rFonts w:hint="eastAsia" w:ascii="仿宋_GB2312" w:hAnsi="仿宋_GB2312" w:eastAsia="仿宋_GB2312" w:cs="仿宋_GB2312"/>
          <w:color w:val="auto"/>
          <w:sz w:val="32"/>
          <w:szCs w:val="32"/>
          <w:lang w:val="zh-CN" w:eastAsia="zh-CN" w:bidi="ar-SA"/>
        </w:rPr>
        <w:t>依托海口湾、海甸溪的滨海资源</w:t>
      </w:r>
      <w:r>
        <w:rPr>
          <w:rFonts w:hint="eastAsia" w:ascii="仿宋_GB2312" w:hAnsi="仿宋_GB2312" w:eastAsia="仿宋_GB2312" w:cs="仿宋_GB2312"/>
          <w:color w:val="auto"/>
          <w:sz w:val="32"/>
          <w:szCs w:val="32"/>
          <w:lang w:val="en-US" w:eastAsia="zh-CN" w:bidi="ar-SA"/>
        </w:rPr>
        <w:t>特色</w:t>
      </w:r>
      <w:r>
        <w:rPr>
          <w:rFonts w:hint="eastAsia" w:ascii="仿宋_GB2312" w:hAnsi="仿宋_GB2312" w:eastAsia="仿宋_GB2312" w:cs="仿宋_GB2312"/>
          <w:color w:val="auto"/>
          <w:sz w:val="32"/>
          <w:szCs w:val="32"/>
          <w:lang w:val="zh-CN" w:eastAsia="zh-CN" w:bidi="ar-SA"/>
        </w:rPr>
        <w:t>，</w:t>
      </w:r>
      <w:r>
        <w:rPr>
          <w:rFonts w:hint="eastAsia" w:ascii="仿宋_GB2312" w:hAnsi="仿宋_GB2312" w:eastAsia="仿宋_GB2312" w:cs="仿宋_GB2312"/>
          <w:color w:val="auto"/>
          <w:sz w:val="32"/>
          <w:szCs w:val="32"/>
          <w:lang w:val="en-US" w:eastAsia="zh-CN" w:bidi="ar-SA"/>
        </w:rPr>
        <w:t>推出海口湾夜游精品线路，海口湾夜游游船项目正式运营。海口东坡老码头文旅商综合体建成运营，以东南亚元素为主题的星州夜市开街迎客，为市民游客提供城市夜游休闲新去处。</w:t>
      </w:r>
    </w:p>
    <w:p>
      <w:pPr>
        <w:pStyle w:val="11"/>
        <w:keepNext w:val="0"/>
        <w:keepLines w:val="0"/>
        <w:pageBreakBefore w:val="0"/>
        <w:widowControl w:val="0"/>
        <w:kinsoku/>
        <w:wordWrap/>
        <w:overflowPunct/>
        <w:topLinePunct w:val="0"/>
        <w:autoSpaceDE/>
        <w:autoSpaceDN/>
        <w:bidi w:val="0"/>
        <w:adjustRightInd/>
        <w:snapToGrid/>
        <w:spacing w:line="540" w:lineRule="exact"/>
        <w:ind w:left="0" w:leftChars="0" w:firstLine="6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2023年底，全市旅行社达712家，全市住宿业1362家，总客房84600间，A级旅游景区15家。海口市累计接待游客总数2431.35万人次，同比增长31.8%，旅游总收入393.45亿元，同比增长37.4%。</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（五）批发零售业和住宿餐饮业</w:t>
      </w:r>
    </w:p>
    <w:p>
      <w:pPr>
        <w:pStyle w:val="11"/>
        <w:keepNext w:val="0"/>
        <w:keepLines w:val="0"/>
        <w:pageBreakBefore w:val="0"/>
        <w:widowControl w:val="0"/>
        <w:kinsoku/>
        <w:wordWrap/>
        <w:overflowPunct/>
        <w:topLinePunct w:val="0"/>
        <w:autoSpaceDE/>
        <w:autoSpaceDN/>
        <w:bidi w:val="0"/>
        <w:adjustRightInd/>
        <w:snapToGrid/>
        <w:spacing w:line="540" w:lineRule="exact"/>
        <w:ind w:left="0" w:leftChars="0" w:firstLine="6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社会消费品零售总额为1088.83亿元，占全省比重为43.4%，同比增长8.6%。搭建“会展+”平台，激发消费新“爆点”。今年国际环境的变动导致油价上涨幅度较大，高油价助推了新能源汽车的市场需求，加上新能源汽车的消费补贴政策，促使了限上新能源汽车零售额同比增长27.3%。依托国际消费品博览会、演唱会等大型活动助力，同时受疫情后居民消费信心尚未回暖、客流量季节性变化、上年同期基数逐渐抬升等多种因素影响，消费市场需求和预期由波动逐渐趋缓趋稳。</w:t>
      </w:r>
    </w:p>
    <w:p>
      <w:pPr>
        <w:pStyle w:val="11"/>
        <w:keepNext w:val="0"/>
        <w:keepLines w:val="0"/>
        <w:pageBreakBefore w:val="0"/>
        <w:widowControl w:val="0"/>
        <w:kinsoku/>
        <w:wordWrap/>
        <w:overflowPunct/>
        <w:topLinePunct w:val="0"/>
        <w:autoSpaceDE/>
        <w:autoSpaceDN/>
        <w:bidi w:val="0"/>
        <w:adjustRightInd/>
        <w:snapToGrid/>
        <w:spacing w:line="540" w:lineRule="exact"/>
        <w:ind w:left="0" w:leftChars="0" w:firstLine="6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全年批发和零售业实现增加值428.04亿元，比上年增长7.8%，占全市地区生产总值的18.1%；住宿和餐饮业实现增加值58.82亿元，增长20.9%，占全市地区生产总值的2.5%。</w:t>
      </w:r>
    </w:p>
    <w:p>
      <w:pPr>
        <w:jc w:val="center"/>
        <w:rPr>
          <w:rFonts w:hint="eastAsia" w:ascii="仿宋" w:hAnsi="仿宋" w:eastAsia="仿宋" w:cs="仿宋"/>
          <w:color w:val="auto"/>
          <w:spacing w:val="20"/>
          <w:sz w:val="28"/>
          <w:szCs w:val="28"/>
          <w:shd w:val="clear" w:color="auto" w:fill="FFFFFF"/>
        </w:rPr>
      </w:pPr>
      <w:r>
        <w:rPr>
          <w:color w:val="auto"/>
        </w:rPr>
        <w:drawing>
          <wp:inline distT="0" distB="0" distL="114300" distR="114300">
            <wp:extent cx="4581525" cy="2886075"/>
            <wp:effectExtent l="0" t="0" r="9525" b="9525"/>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2"/>
                    <a:stretch>
                      <a:fillRect/>
                    </a:stretch>
                  </pic:blipFill>
                  <pic:spPr>
                    <a:xfrm>
                      <a:off x="0" y="0"/>
                      <a:ext cx="4581525" cy="28860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_GB2312" w:hAnsi="仿宋_GB2312" w:eastAsia="仿宋_GB2312" w:cs="仿宋_GB2312"/>
          <w:color w:val="auto"/>
          <w:sz w:val="32"/>
          <w:szCs w:val="32"/>
          <w:lang w:val="en-US" w:eastAsia="zh-CN" w:bidi="ar-SA"/>
        </w:rPr>
        <w:t>在限上企业（单位）商品零售额中，粮油、食品类同比下降11.5%，饮料类同比增长191.6%，烟酒类同比增长5.5%，服装、鞋帽、针纺织品类同比增长39.3%，化妆品类同比下降10.4%，金银珠宝类同比增长92.1%，日用品类同比增长54.8%，体育、娱乐用品类同比下降11.0%，书报杂志类同比增长22.2%，家用电器和音像器材类同比下降1.4%，中西药品类同比增长18.0%，文化办公用品类同比下降13.8%，家具类同比下降82.7%，通讯器材类同比增长0.7%，石油及制品类同比增长9.4%，汽车类同比增长1.7%，其他同比增长46.8%。</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11"/>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（六）交通运输</w:t>
      </w:r>
      <w:r>
        <w:rPr>
          <w:rFonts w:hint="eastAsia" w:ascii="楷体" w:hAnsi="楷体" w:eastAsia="楷体" w:cs="楷体"/>
          <w:b w:val="0"/>
          <w:bCs/>
          <w:color w:val="auto"/>
          <w:spacing w:val="20"/>
          <w:sz w:val="32"/>
          <w:szCs w:val="32"/>
          <w:shd w:val="clear" w:color="auto" w:fill="FFFFFF"/>
          <w:lang w:eastAsia="zh-CN"/>
        </w:rPr>
        <w:t>、</w:t>
      </w:r>
      <w:r>
        <w:rPr>
          <w:rFonts w:hint="eastAsia" w:ascii="楷体" w:hAnsi="楷体" w:eastAsia="楷体" w:cs="楷体"/>
          <w:b w:val="0"/>
          <w:bCs/>
          <w:color w:val="auto"/>
          <w:spacing w:val="20"/>
          <w:sz w:val="32"/>
          <w:szCs w:val="32"/>
          <w:shd w:val="clear" w:color="auto" w:fill="FFFFFF"/>
        </w:rPr>
        <w:t>仓储</w:t>
      </w:r>
      <w:r>
        <w:rPr>
          <w:rFonts w:hint="eastAsia" w:ascii="楷体" w:hAnsi="楷体" w:eastAsia="楷体" w:cs="楷体"/>
          <w:b w:val="0"/>
          <w:bCs/>
          <w:color w:val="auto"/>
          <w:spacing w:val="20"/>
          <w:sz w:val="32"/>
          <w:szCs w:val="32"/>
          <w:shd w:val="clear" w:color="auto" w:fill="FFFFFF"/>
          <w:lang w:eastAsia="zh-CN"/>
        </w:rPr>
        <w:t>和</w:t>
      </w:r>
      <w:r>
        <w:rPr>
          <w:rFonts w:hint="eastAsia" w:ascii="楷体" w:hAnsi="楷体" w:eastAsia="楷体" w:cs="楷体"/>
          <w:b w:val="0"/>
          <w:bCs/>
          <w:color w:val="auto"/>
          <w:spacing w:val="20"/>
          <w:sz w:val="32"/>
          <w:szCs w:val="32"/>
          <w:shd w:val="clear" w:color="auto" w:fill="FFFFFF"/>
        </w:rPr>
        <w:t>邮政业</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我市交通运输、仓储和邮政业实现增加值244.95亿元，比上年同期增长38.3%。旅客运输量8585.9万人次，增长90.4%；旅客周转量662.65亿人公里，增长213.5%；货物运输量14464.0万吨，增长18.0%；货物周转量2687.31亿吨公里，增长49.9%；港口货物吞吐量10711.5万吨，增长10.0%；港口集装箱吞吐量145.1万标箱，下降32.4%。</w:t>
      </w:r>
    </w:p>
    <w:p>
      <w:pPr>
        <w:keepNext w:val="0"/>
        <w:keepLines w:val="0"/>
        <w:pageBreakBefore w:val="0"/>
        <w:widowControl/>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我市完成电信业务总量63.46亿元，增长24.5%；邮政业务总量18.17亿标准量，增长22.3%。至年末，全市电话用户477.2万户，其中固定电话用户63.3万户；移动电话用户413.9万户，增加10.2万户。互联网宽带接入用户185.3万户。</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（七）金融、保险和证券</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2023年12月末，全市金融机构本外币存款余额为7115.18亿元，比年初增加715.72亿元，同比增长11.18%。其中，住户存款余额2896.93亿元，同比增长12.89%；非金融企业存款2531.47亿元，同比增长11.10%。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2023年，金融业增加值占GDP比重提高到10.6%，金融业在国民经济中的地位持续上升，日益成为第三产业和国民经济的重要组成部分。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截至2023年12月末，原保险保费收入138.87亿元，同比增长3.06%。其中财产险业务原保险保费收入49.94亿元，同比增长7.79%；寿险业务原保险保费收入64.85亿元，同比增长9.62%；健康险业务原保险保费收入21.09亿元，同比下降18.70%；意外险业务原保险保费收入2.98亿元，同比下降9.91%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全年原保险赔付支出56.78亿元，同比增长0.41%。财产险业务赔付支出34.18亿元，同比增长12.45%；寿险业务赔付支出11.87亿元，同比增长12.50%；健康险业务赔付支出9.84亿元，同比下降33.09%；意外险业务赔付支出8989.28万元，同比下降0.81%。</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海口市证券经营机构总交易金额17452.93亿元，比上年同期增长6.70%，其中股票交易额8108.03亿元，下降11.45%。2023年末海口市证券账户开户308.41万户，增长7.38%。全年海口市期货经营机构交易额18483.94亿元，增长89.49%。</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（八）会展业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2023年，抢抓举办契机，持续推动会展业高质量发展。</w:t>
      </w:r>
      <w:r>
        <w:rPr>
          <w:rFonts w:hint="default" w:ascii="仿宋_GB2312" w:hAnsi="仿宋_GB2312" w:eastAsia="仿宋_GB2312" w:cs="仿宋_GB2312"/>
          <w:color w:val="auto"/>
          <w:sz w:val="32"/>
          <w:szCs w:val="32"/>
          <w:lang w:val="en-US" w:eastAsia="zh-CN" w:bidi="ar-SA"/>
        </w:rPr>
        <w:t>服务保障第三届消博会成功举办</w:t>
      </w:r>
      <w:r>
        <w:rPr>
          <w:rFonts w:hint="eastAsia" w:ascii="仿宋_GB2312" w:hAnsi="仿宋_GB2312" w:eastAsia="仿宋_GB2312" w:cs="仿宋_GB2312"/>
          <w:color w:val="auto"/>
          <w:sz w:val="32"/>
          <w:szCs w:val="32"/>
          <w:lang w:val="en-US" w:eastAsia="zh-CN" w:bidi="ar-SA"/>
        </w:rPr>
        <w:t>。消博会期间累计对接企业（机构）500余家，举办、参与专题招商活动10余场，签约企业项目45个，签约金额31亿元，有效承接消博会溢出效应。2023年我市累计举办规模以上会议400场，同比增长67.36%，其中千人以上会议22场；举办展览73场，同比增长14.06%，其中经贸类展览34场，经贸类展览面积约101万平方米，同比增长25.76%；我市会展业综合收入累计142.74亿元，同比增长58.04%。</w:t>
      </w:r>
    </w:p>
    <w:p>
      <w:pPr>
        <w:keepNext w:val="0"/>
        <w:keepLines w:val="0"/>
        <w:pageBreakBefore w:val="0"/>
        <w:widowControl w:val="0"/>
        <w:numPr>
          <w:ilvl w:val="0"/>
          <w:numId w:val="0"/>
        </w:numPr>
        <w:pBdr>
          <w:bottom w:val="none" w:color="auto" w:sz="0" w:space="31"/>
        </w:pBdr>
        <w:tabs>
          <w:tab w:val="left" w:pos="609"/>
        </w:tabs>
        <w:kinsoku/>
        <w:wordWrap/>
        <w:overflowPunct/>
        <w:topLinePunct w:val="0"/>
        <w:autoSpaceDE/>
        <w:autoSpaceDN/>
        <w:bidi w:val="0"/>
        <w:adjustRightInd w:val="0"/>
        <w:snapToGrid w:val="0"/>
        <w:spacing w:line="540" w:lineRule="exact"/>
        <w:ind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lang w:eastAsia="zh-CN"/>
        </w:rPr>
        <w:t>四、</w:t>
      </w:r>
      <w:r>
        <w:rPr>
          <w:rFonts w:hint="eastAsia" w:ascii="黑体" w:hAnsi="黑体" w:eastAsia="黑体" w:cs="黑体"/>
          <w:b w:val="0"/>
          <w:bCs/>
          <w:color w:val="auto"/>
          <w:spacing w:val="20"/>
          <w:sz w:val="32"/>
          <w:szCs w:val="32"/>
          <w:shd w:val="clear" w:color="auto" w:fill="FFFFFF"/>
        </w:rPr>
        <w:t>对外贸易和总部经济</w:t>
      </w:r>
    </w:p>
    <w:p>
      <w:pPr>
        <w:keepNext w:val="0"/>
        <w:keepLines w:val="0"/>
        <w:pageBreakBefore w:val="0"/>
        <w:widowControl w:val="0"/>
        <w:numPr>
          <w:ilvl w:val="0"/>
          <w:numId w:val="0"/>
        </w:numPr>
        <w:pBdr>
          <w:bottom w:val="none" w:color="auto" w:sz="0" w:space="31"/>
        </w:pBdr>
        <w:tabs>
          <w:tab w:val="left" w:pos="609"/>
        </w:tabs>
        <w:kinsoku/>
        <w:wordWrap/>
        <w:overflowPunct/>
        <w:topLinePunct w:val="0"/>
        <w:autoSpaceDE/>
        <w:autoSpaceDN/>
        <w:bidi w:val="0"/>
        <w:adjustRightInd w:val="0"/>
        <w:snapToGrid w:val="0"/>
        <w:spacing w:line="540" w:lineRule="exact"/>
        <w:ind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（一）</w:t>
      </w:r>
      <w:r>
        <w:rPr>
          <w:rFonts w:hint="eastAsia" w:ascii="楷体" w:hAnsi="楷体" w:eastAsia="楷体" w:cs="楷体"/>
          <w:b w:val="0"/>
          <w:bCs/>
          <w:color w:val="auto"/>
          <w:spacing w:val="20"/>
          <w:sz w:val="32"/>
          <w:szCs w:val="32"/>
          <w:shd w:val="clear" w:color="auto" w:fill="FFFFFF"/>
        </w:rPr>
        <w:t>对外贸易</w:t>
      </w:r>
    </w:p>
    <w:p>
      <w:pPr>
        <w:keepNext w:val="0"/>
        <w:keepLines w:val="0"/>
        <w:pageBreakBefore w:val="0"/>
        <w:widowControl w:val="0"/>
        <w:numPr>
          <w:ilvl w:val="0"/>
          <w:numId w:val="0"/>
        </w:numPr>
        <w:pBdr>
          <w:bottom w:val="none" w:color="auto" w:sz="0" w:space="31"/>
        </w:pBdr>
        <w:tabs>
          <w:tab w:val="left" w:pos="609"/>
        </w:tabs>
        <w:kinsoku/>
        <w:wordWrap/>
        <w:overflowPunct/>
        <w:topLinePunct w:val="0"/>
        <w:autoSpaceDE/>
        <w:autoSpaceDN/>
        <w:bidi w:val="0"/>
        <w:adjustRightInd w:val="0"/>
        <w:snapToGrid w:val="0"/>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据海口海关统计，2023年我市进出口总额790.09亿元，比上年增长30.5%。其中，出口291.82亿元，增长71.4%；进口498.27亿元，增长14.5%。贸易逆差206.45亿元。</w:t>
      </w:r>
    </w:p>
    <w:p>
      <w:pPr>
        <w:jc w:val="center"/>
        <w:rPr>
          <w:rFonts w:hint="eastAsia" w:ascii="仿宋" w:hAnsi="仿宋" w:eastAsia="仿宋" w:cs="仿宋"/>
          <w:color w:val="auto"/>
          <w:spacing w:val="20"/>
          <w:sz w:val="28"/>
          <w:szCs w:val="28"/>
        </w:rPr>
      </w:pPr>
      <w:r>
        <w:rPr>
          <w:color w:val="auto"/>
        </w:rPr>
        <w:drawing>
          <wp:inline distT="0" distB="0" distL="114300" distR="114300">
            <wp:extent cx="4591050" cy="2800350"/>
            <wp:effectExtent l="0" t="0" r="0" b="0"/>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
                    <pic:cNvPicPr>
                      <a:picLocks noChangeAspect="1"/>
                    </pic:cNvPicPr>
                  </pic:nvPicPr>
                  <pic:blipFill>
                    <a:blip r:embed="rId13"/>
                    <a:stretch>
                      <a:fillRect/>
                    </a:stretch>
                  </pic:blipFill>
                  <pic:spPr>
                    <a:xfrm>
                      <a:off x="0" y="0"/>
                      <a:ext cx="4591050" cy="280035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抢抓招商引外资，拓展招商引资实践路径。江东新区加大力度招商引资，初步形成了以山东能源（海南）智慧国际科技有限公司、山东黄金集团（海南）国际贸易有限公司等离岸贸易企业集聚。依托“自贸港+保税”政策优势，承接了首台航空发动机维修业务，一站式飞机维修基地产业形成聚集效应。联动园区、楼宇等载体策划举办“瞰海口，赢未来”等全国招商推介系列活动163场次；与天耀众医药、泰瑞股份、中电能源等一批当地重点企业签约；组织重点园区、行政区参加长沙工程机械展、厦洽会、西博会、兰洽会等知名产业展会，形成山河智能、河南能源集团、盼盼食品等130余个优质储备项目；走访梳理全球贸易之窗、海南大厦、招商局大厦等重点楼宇载体资源和配套服务，按照区域总部、金融、高端消费品精品等细分领域招商方向，引导斯通伍德、太古供应链、中煤、泰佩思琦等逾千家企业入驻集聚。加大吸引外商投资力度。建立外资企业圆桌会议制度，举办海口市外资企业圆桌会议，太古可口可乐、波洛莱物流、戴德梁行、安永等10家外资企业代表参加，助力外资企业在海口长期、稳定发展。2023年，全市实际使用外资为95.8亿元，比上年下降28.56%；全市累计签约164个项目实质合同，签实质合同金额648.8亿元，重点项目包括锐骏半导体海南设计研发中心、佳沃海南集团替代蛋白加工厂、中国土木工程集团国际投资总部等。</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rPr>
        <w:t>（二）总部经济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2023年，新增总部企业6家，目前共有总部企业51家，占海南省认定企业数量的59%（海南省认定总部企业共计86家）。总部企业类型包括大企业总部1家、高成长型总部12家，功能型总部2家、综合型总部36家。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2023年海口市全年新增市场主体151.3万户，同比增长93.84%，占全省的86.68%。截至2023年12月底，海口市实有市场主体263.5万户，同比增长88.22%，占全省的69.66%。</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黑体" w:hAnsi="黑体" w:eastAsia="黑体" w:cs="黑体"/>
          <w:b w:val="0"/>
          <w:bCs/>
          <w:color w:val="auto"/>
          <w:spacing w:val="20"/>
          <w:sz w:val="32"/>
          <w:szCs w:val="32"/>
        </w:rPr>
      </w:pPr>
      <w:r>
        <w:rPr>
          <w:rFonts w:hint="eastAsia" w:ascii="黑体" w:hAnsi="黑体" w:eastAsia="黑体" w:cs="黑体"/>
          <w:b w:val="0"/>
          <w:bCs/>
          <w:color w:val="auto"/>
          <w:spacing w:val="20"/>
          <w:sz w:val="32"/>
          <w:szCs w:val="32"/>
          <w:shd w:val="clear" w:color="auto" w:fill="FFFFFF"/>
        </w:rPr>
        <w:t>五、科技、文化和体育</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楷体" w:hAnsi="楷体" w:eastAsia="楷体" w:cs="楷体"/>
          <w:b w:val="0"/>
          <w:bCs/>
          <w:color w:val="auto"/>
          <w:spacing w:val="20"/>
          <w:sz w:val="32"/>
          <w:szCs w:val="32"/>
          <w:shd w:val="clear" w:color="auto" w:fill="FFFFFF"/>
          <w:lang w:eastAsia="zh-CN"/>
        </w:rPr>
      </w:pPr>
      <w:r>
        <w:rPr>
          <w:rFonts w:hint="eastAsia" w:ascii="楷体" w:hAnsi="楷体" w:eastAsia="楷体" w:cs="楷体"/>
          <w:b w:val="0"/>
          <w:bCs/>
          <w:color w:val="auto"/>
          <w:spacing w:val="20"/>
          <w:sz w:val="32"/>
          <w:szCs w:val="32"/>
          <w:shd w:val="clear" w:color="auto" w:fill="FFFFFF"/>
        </w:rPr>
        <w:t>（一）科技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打赢“科技创新翻身仗”收官战，推进高水平国家创新型城市建设。海口市秀英区生物医药产业集群（药谷）入选国家中小企业特色产业集群，全省唯一入选。复兴城获省政府批复同意建设千亿级数字经济产业集群。</w:t>
      </w:r>
      <w:r>
        <w:rPr>
          <w:rFonts w:hint="default" w:ascii="仿宋_GB2312" w:hAnsi="仿宋_GB2312" w:eastAsia="仿宋_GB2312" w:cs="仿宋_GB2312"/>
          <w:color w:val="auto"/>
          <w:sz w:val="32"/>
          <w:szCs w:val="32"/>
          <w:lang w:val="en-US" w:eastAsia="zh-CN" w:bidi="ar-SA"/>
        </w:rPr>
        <w:t>中国热带农业科学院“热带作物生物育种全国重点实验室”获国家批复建设；国家技术转移海南中心正式运营，海南大学科技园加快建设。</w:t>
      </w:r>
      <w:r>
        <w:rPr>
          <w:rFonts w:hint="eastAsia" w:ascii="仿宋_GB2312" w:hAnsi="仿宋_GB2312" w:eastAsia="仿宋_GB2312" w:cs="仿宋_GB2312"/>
          <w:color w:val="auto"/>
          <w:sz w:val="32"/>
          <w:szCs w:val="32"/>
          <w:lang w:val="en-US" w:eastAsia="zh-CN" w:bidi="ar-SA"/>
        </w:rPr>
        <w:t>梯次培育壮大高精尖企业。专精特新方面，新增国家级专精特新“小巨人”企业1家，累计10家，占全省77%；新增省级“专精特新”中小企业34家，累计在库179家，占全省52%。高企方面，高新技术企业871家，占全省58%。科技型中小企业1162家左右，约占全省56%。全市省级科研平台达142个，占全省比重71%，完成打赢科技创新翻身仗。省级科研平台目标任务（100家）的142%。</w:t>
      </w:r>
      <w:r>
        <w:rPr>
          <w:rFonts w:hint="default" w:ascii="仿宋_GB2312" w:hAnsi="仿宋_GB2312" w:eastAsia="仿宋_GB2312" w:cs="仿宋_GB2312"/>
          <w:color w:val="auto"/>
          <w:sz w:val="32"/>
          <w:szCs w:val="32"/>
          <w:lang w:val="en-US" w:eastAsia="zh-CN" w:bidi="ar-SA"/>
        </w:rPr>
        <w:t>202</w:t>
      </w:r>
      <w:r>
        <w:rPr>
          <w:rFonts w:hint="eastAsia" w:ascii="仿宋_GB2312" w:hAnsi="仿宋_GB2312" w:eastAsia="仿宋_GB2312" w:cs="仿宋_GB2312"/>
          <w:color w:val="auto"/>
          <w:sz w:val="32"/>
          <w:szCs w:val="32"/>
          <w:lang w:val="en-US" w:eastAsia="zh-CN" w:bidi="ar-SA"/>
        </w:rPr>
        <w:t>2</w:t>
      </w:r>
      <w:r>
        <w:rPr>
          <w:rFonts w:hint="default" w:ascii="仿宋_GB2312" w:hAnsi="仿宋_GB2312" w:eastAsia="仿宋_GB2312" w:cs="仿宋_GB2312"/>
          <w:color w:val="auto"/>
          <w:sz w:val="32"/>
          <w:szCs w:val="32"/>
          <w:lang w:val="en-US" w:eastAsia="zh-CN" w:bidi="ar-SA"/>
        </w:rPr>
        <w:t>年</w:t>
      </w:r>
      <w:r>
        <w:rPr>
          <w:rFonts w:hint="eastAsia" w:ascii="仿宋_GB2312" w:hAnsi="仿宋_GB2312" w:eastAsia="仿宋_GB2312" w:cs="仿宋_GB2312"/>
          <w:color w:val="auto"/>
          <w:sz w:val="32"/>
          <w:szCs w:val="32"/>
          <w:lang w:val="en-US" w:eastAsia="zh-CN" w:bidi="ar-SA"/>
        </w:rPr>
        <w:t>我市R&amp;D经费投入达</w:t>
      </w:r>
      <w:r>
        <w:rPr>
          <w:rFonts w:hint="default" w:ascii="仿宋_GB2312" w:hAnsi="仿宋_GB2312" w:eastAsia="仿宋_GB2312" w:cs="仿宋_GB2312"/>
          <w:color w:val="auto"/>
          <w:sz w:val="32"/>
          <w:szCs w:val="32"/>
          <w:lang w:eastAsia="zh-CN" w:bidi="ar-SA"/>
        </w:rPr>
        <w:t>35.02</w:t>
      </w:r>
      <w:r>
        <w:rPr>
          <w:rFonts w:hint="eastAsia" w:ascii="仿宋_GB2312" w:hAnsi="仿宋_GB2312" w:eastAsia="仿宋_GB2312" w:cs="仿宋_GB2312"/>
          <w:color w:val="auto"/>
          <w:sz w:val="32"/>
          <w:szCs w:val="32"/>
          <w:lang w:val="en-US" w:eastAsia="zh-CN" w:bidi="ar-SA"/>
        </w:rPr>
        <w:t>亿元，比上年增长</w:t>
      </w:r>
      <w:r>
        <w:rPr>
          <w:rFonts w:hint="default" w:ascii="仿宋_GB2312" w:hAnsi="仿宋_GB2312" w:eastAsia="仿宋_GB2312" w:cs="仿宋_GB2312"/>
          <w:color w:val="auto"/>
          <w:sz w:val="32"/>
          <w:szCs w:val="32"/>
          <w:lang w:eastAsia="zh-CN" w:bidi="ar-SA"/>
        </w:rPr>
        <w:t>21.6</w:t>
      </w:r>
      <w:r>
        <w:rPr>
          <w:rFonts w:hint="eastAsia" w:ascii="仿宋_GB2312" w:hAnsi="仿宋_GB2312" w:eastAsia="仿宋_GB2312" w:cs="仿宋_GB2312"/>
          <w:color w:val="auto"/>
          <w:sz w:val="32"/>
          <w:szCs w:val="32"/>
          <w:lang w:val="en-US" w:eastAsia="zh-CN" w:bidi="ar-SA"/>
        </w:rPr>
        <w:t>%，占全省比重为</w:t>
      </w:r>
      <w:r>
        <w:rPr>
          <w:rFonts w:hint="default" w:ascii="仿宋_GB2312" w:hAnsi="仿宋_GB2312" w:eastAsia="仿宋_GB2312" w:cs="仿宋_GB2312"/>
          <w:color w:val="auto"/>
          <w:sz w:val="32"/>
          <w:szCs w:val="32"/>
          <w:lang w:eastAsia="zh-CN" w:bidi="ar-SA"/>
        </w:rPr>
        <w:t>51.2</w:t>
      </w:r>
      <w:r>
        <w:rPr>
          <w:rFonts w:hint="eastAsia" w:ascii="仿宋_GB2312" w:hAnsi="仿宋_GB2312" w:eastAsia="仿宋_GB2312" w:cs="仿宋_GB2312"/>
          <w:color w:val="auto"/>
          <w:sz w:val="32"/>
          <w:szCs w:val="32"/>
          <w:lang w:val="en-US" w:eastAsia="zh-CN" w:bidi="ar-SA"/>
        </w:rPr>
        <w:t>%；R&amp;D经费投入强度</w:t>
      </w:r>
      <w:r>
        <w:rPr>
          <w:rFonts w:hint="default" w:ascii="仿宋_GB2312" w:hAnsi="仿宋_GB2312" w:eastAsia="仿宋_GB2312" w:cs="仿宋_GB2312"/>
          <w:color w:val="auto"/>
          <w:sz w:val="32"/>
          <w:szCs w:val="32"/>
          <w:lang w:eastAsia="zh-CN" w:bidi="ar-SA"/>
        </w:rPr>
        <w:t>1.6</w:t>
      </w:r>
      <w:r>
        <w:rPr>
          <w:rFonts w:hint="eastAsia" w:ascii="仿宋_GB2312" w:hAnsi="仿宋_GB2312" w:eastAsia="仿宋_GB2312" w:cs="仿宋_GB2312"/>
          <w:color w:val="auto"/>
          <w:sz w:val="32"/>
          <w:szCs w:val="32"/>
          <w:lang w:val="en-US" w:eastAsia="zh-CN" w:bidi="ar-SA"/>
        </w:rPr>
        <w:t>4%，比上年提高</w:t>
      </w:r>
      <w:r>
        <w:rPr>
          <w:rFonts w:hint="default" w:ascii="仿宋_GB2312" w:hAnsi="仿宋_GB2312" w:eastAsia="仿宋_GB2312" w:cs="仿宋_GB2312"/>
          <w:color w:val="auto"/>
          <w:sz w:val="32"/>
          <w:szCs w:val="32"/>
          <w:lang w:eastAsia="zh-CN" w:bidi="ar-SA"/>
        </w:rPr>
        <w:t>0.24</w:t>
      </w:r>
      <w:r>
        <w:rPr>
          <w:rFonts w:hint="eastAsia" w:ascii="仿宋_GB2312" w:hAnsi="仿宋_GB2312" w:eastAsia="仿宋_GB2312" w:cs="仿宋_GB2312"/>
          <w:color w:val="auto"/>
          <w:sz w:val="32"/>
          <w:szCs w:val="32"/>
          <w:lang w:val="en-US" w:eastAsia="zh-CN" w:bidi="ar-SA"/>
        </w:rPr>
        <w:t>个百分点</w:t>
      </w:r>
      <w:r>
        <w:rPr>
          <w:rFonts w:hint="default" w:ascii="仿宋_GB2312" w:hAnsi="仿宋_GB2312" w:eastAsia="仿宋_GB2312" w:cs="仿宋_GB2312"/>
          <w:color w:val="auto"/>
          <w:sz w:val="32"/>
          <w:szCs w:val="32"/>
          <w:lang w:val="en-US" w:eastAsia="zh-CN" w:bidi="ar-SA"/>
        </w:rPr>
        <w:t>。</w:t>
      </w:r>
      <w:r>
        <w:rPr>
          <w:rFonts w:hint="eastAsia" w:ascii="仿宋_GB2312" w:hAnsi="仿宋_GB2312" w:eastAsia="仿宋_GB2312" w:cs="仿宋_GB2312"/>
          <w:color w:val="auto"/>
          <w:sz w:val="32"/>
          <w:szCs w:val="32"/>
          <w:lang w:val="en-US" w:eastAsia="zh-CN" w:bidi="ar-SA"/>
        </w:rPr>
        <w:t>持续提升科技助力产业创新能力。制定实施《海口市重大科技项目揭榜挂帅制实施方案（试行）》，以重大需求为导向、以解决问题为目标，拟揭榜挂帅攻坚“PHA微球复合透明质酸钠皮肤填充凝胶的研究与开发”等4个制约行业发展的共性技术难题。完成10个重大科技创新项目中期评估和1个重点（重大）科技计划项目验收。制定实施《海口市促进科技成果转化项目补助奖励实施细则》，推动科技成果转化。2023年全市登记技术合同2005件，合同成交总金额达36亿元，其中技术交易额达34.8亿元，同比增长25%，占全省比重为70%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不断优化人才就业创业便利度。扎实推进省部联动外国人工作许可证、居留许可“一窗通办，同时发证”试点工作。2023年科工信领域9家企业9人入选“南海创新人才”，1家企业1人入选“南海工匠”。全市累计17家制造业企业通过实现ERP系统与海关监管辅助系统的联网对接，成功获批海南自贸港加工增值30%免关税政策试点企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default"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2023年，全市累计获批省级国际设计岛示范基地4家，省级工业设计中心7家；全市13家融资担保机构新增担保业务45.59亿元，其中为我市584家中小企业融资担保26.61亿元。</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left="718" w:leftChars="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val="0"/>
          <w:bCs/>
          <w:color w:val="auto"/>
          <w:spacing w:val="20"/>
          <w:sz w:val="32"/>
          <w:szCs w:val="32"/>
          <w:shd w:val="clear" w:color="auto" w:fill="FFFFFF"/>
          <w:lang w:eastAsia="zh-CN"/>
        </w:rPr>
        <w:t>（二）</w:t>
      </w:r>
      <w:r>
        <w:rPr>
          <w:rFonts w:hint="eastAsia" w:ascii="楷体" w:hAnsi="楷体" w:eastAsia="楷体" w:cs="楷体"/>
          <w:b w:val="0"/>
          <w:bCs/>
          <w:color w:val="auto"/>
          <w:spacing w:val="20"/>
          <w:sz w:val="32"/>
          <w:szCs w:val="32"/>
          <w:shd w:val="clear" w:color="auto" w:fill="FFFFFF"/>
        </w:rPr>
        <w:t>文化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40" w:lineRule="exact"/>
        <w:ind w:left="0" w:right="0"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文旅深度融合释放新活力，</w:t>
      </w:r>
      <w:r>
        <w:rPr>
          <w:rFonts w:hint="eastAsia" w:ascii="仿宋_GB2312" w:hAnsi="仿宋_GB2312" w:eastAsia="仿宋_GB2312" w:cs="仿宋_GB2312"/>
          <w:color w:val="auto"/>
          <w:sz w:val="32"/>
          <w:szCs w:val="32"/>
          <w:lang w:val="zh-CN" w:eastAsia="zh-CN" w:bidi="ar-SA"/>
        </w:rPr>
        <w:t>旅游文体设施建设加速推进</w:t>
      </w:r>
      <w:r>
        <w:rPr>
          <w:rFonts w:hint="eastAsia" w:ascii="仿宋_GB2312" w:hAnsi="仿宋_GB2312" w:eastAsia="仿宋_GB2312" w:cs="仿宋_GB2312"/>
          <w:color w:val="auto"/>
          <w:sz w:val="32"/>
          <w:szCs w:val="32"/>
          <w:lang w:val="en-US" w:eastAsia="zh-CN" w:bidi="ar-SA"/>
        </w:rPr>
        <w:t>，天空之山驿站正式建成并投入运营，海口骑楼非遗馆项目已建成；海南省美术馆、海南省艺术中心等一批省会城市公共文化设施建设加快推进。</w:t>
      </w:r>
      <w:r>
        <w:rPr>
          <w:rFonts w:hint="eastAsia" w:ascii="仿宋_GB2312" w:hAnsi="仿宋_GB2312" w:eastAsia="仿宋_GB2312" w:cs="仿宋_GB2312"/>
          <w:color w:val="auto"/>
          <w:sz w:val="32"/>
          <w:szCs w:val="32"/>
          <w:lang w:val="zh-CN" w:eastAsia="zh-CN" w:bidi="ar-SA"/>
        </w:rPr>
        <w:t>“文化名人</w:t>
      </w:r>
      <w:r>
        <w:rPr>
          <w:rFonts w:hint="eastAsia" w:ascii="仿宋_GB2312" w:hAnsi="仿宋_GB2312" w:eastAsia="仿宋_GB2312" w:cs="仿宋_GB2312"/>
          <w:color w:val="auto"/>
          <w:sz w:val="32"/>
          <w:szCs w:val="32"/>
          <w:lang w:val="en-US" w:eastAsia="zh-CN" w:bidi="ar-SA"/>
        </w:rPr>
        <w:t>+旅游</w:t>
      </w:r>
      <w:r>
        <w:rPr>
          <w:rFonts w:hint="eastAsia" w:ascii="仿宋_GB2312" w:hAnsi="仿宋_GB2312" w:eastAsia="仿宋_GB2312" w:cs="仿宋_GB2312"/>
          <w:color w:val="auto"/>
          <w:sz w:val="32"/>
          <w:szCs w:val="32"/>
          <w:lang w:val="zh-CN" w:eastAsia="zh-CN" w:bidi="ar-SA"/>
        </w:rPr>
        <w:t>”跨界出圈。</w:t>
      </w:r>
      <w:r>
        <w:rPr>
          <w:rFonts w:hint="eastAsia" w:ascii="仿宋_GB2312" w:hAnsi="仿宋_GB2312" w:eastAsia="仿宋_GB2312" w:cs="仿宋_GB2312"/>
          <w:color w:val="auto"/>
          <w:sz w:val="32"/>
          <w:szCs w:val="32"/>
          <w:lang w:val="en-US" w:eastAsia="zh-CN" w:bidi="ar-SA"/>
        </w:rPr>
        <w:t>中共琼崖第一次代表大会旧址、海瑞文化公园、海瑞故居获评首批省级廉洁文化教育基地。</w:t>
      </w:r>
      <w:r>
        <w:rPr>
          <w:rFonts w:hint="default" w:ascii="仿宋_GB2312" w:hAnsi="仿宋_GB2312" w:eastAsia="仿宋_GB2312" w:cs="仿宋_GB2312"/>
          <w:color w:val="auto"/>
          <w:sz w:val="32"/>
          <w:szCs w:val="32"/>
          <w:lang w:val="en-US" w:eastAsia="zh-CN" w:bidi="ar-SA"/>
        </w:rPr>
        <w:t>依托海瑞文化公园，讲好以海瑞为代表的清官文化、廉洁文化，充分挖掘和激活历史文化资源</w:t>
      </w:r>
      <w:r>
        <w:rPr>
          <w:rFonts w:hint="eastAsia" w:ascii="仿宋_GB2312" w:hAnsi="仿宋_GB2312" w:eastAsia="仿宋_GB2312" w:cs="仿宋_GB2312"/>
          <w:color w:val="auto"/>
          <w:sz w:val="32"/>
          <w:szCs w:val="32"/>
          <w:lang w:val="en-US" w:eastAsia="zh-CN" w:bidi="ar-SA"/>
        </w:rPr>
        <w:t>；</w:t>
      </w:r>
      <w:r>
        <w:rPr>
          <w:rFonts w:hint="default" w:ascii="仿宋_GB2312" w:hAnsi="仿宋_GB2312" w:eastAsia="仿宋_GB2312" w:cs="仿宋_GB2312"/>
          <w:color w:val="auto"/>
          <w:sz w:val="32"/>
          <w:szCs w:val="32"/>
          <w:lang w:val="en-US" w:eastAsia="zh-CN" w:bidi="ar-SA"/>
        </w:rPr>
        <w:t>大力弘扬东坡文化，首届中国（海南）东坡文化旅游大会在海口举办，独具特色的东坡文化及沉浸式旅游体验受到市民游客的热捧</w:t>
      </w:r>
      <w:r>
        <w:rPr>
          <w:rFonts w:hint="eastAsia" w:ascii="仿宋_GB2312" w:hAnsi="仿宋_GB2312" w:eastAsia="仿宋_GB2312" w:cs="仿宋_GB2312"/>
          <w:color w:val="auto"/>
          <w:sz w:val="32"/>
          <w:szCs w:val="32"/>
          <w:lang w:val="en-US" w:eastAsia="zh-CN" w:bidi="ar-SA"/>
        </w:rPr>
        <w:t>。海口市艺术团创作的舞台剧《地名里的海口》、《寻梦骑楼》，市琼剧团大型原创琼剧《海刚峰》精彩上演。2023年，组织引进各类精品文艺演出200余场次，满足不同观众对文艺演出的观演需求。举办海口儿童戏剧嘉年华、街头艺术节、街头艺人大赛、新春街头艺术展演、城市雕塑艺术节等活动。</w:t>
      </w:r>
      <w:r>
        <w:rPr>
          <w:rFonts w:hint="default" w:ascii="仿宋_GB2312" w:hAnsi="仿宋_GB2312" w:eastAsia="仿宋_GB2312" w:cs="仿宋_GB2312"/>
          <w:color w:val="auto"/>
          <w:sz w:val="32"/>
          <w:szCs w:val="32"/>
          <w:lang w:val="en-US" w:eastAsia="zh-CN" w:bidi="ar-SA"/>
        </w:rPr>
        <w:t>特色文化活动丰富多彩，</w:t>
      </w:r>
      <w:r>
        <w:rPr>
          <w:rFonts w:hint="eastAsia" w:ascii="仿宋_GB2312" w:hAnsi="仿宋_GB2312" w:eastAsia="仿宋_GB2312" w:cs="仿宋_GB2312"/>
          <w:color w:val="auto"/>
          <w:sz w:val="32"/>
          <w:szCs w:val="32"/>
          <w:lang w:val="en-US" w:eastAsia="zh-CN" w:bidi="ar-SA"/>
        </w:rPr>
        <w:t>2023（第二届）海南自贸港国际美术展、2023年（第三届）海南锦绣世界文化周在海口举办，开展“我们的节日”系列主题活动、海口“春风村雨”文化惠民演出、琼剧惠民等活动百余场次。</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全市共有艺术表演团体545个，艺术表演场馆34个，博物馆11个，群众艺术馆1个、文化馆4个，文化站43个，公共图书馆5个。全年广播人口综合覆盖率99.19%，电视覆盖人口综合覆盖率达到99.14%。公共图书馆藏书量344.92万册。</w:t>
      </w:r>
    </w:p>
    <w:p>
      <w:pPr>
        <w:keepNext w:val="0"/>
        <w:keepLines w:val="0"/>
        <w:pageBreakBefore w:val="0"/>
        <w:widowControl/>
        <w:numPr>
          <w:ilvl w:val="0"/>
          <w:numId w:val="0"/>
        </w:numPr>
        <w:kinsoku/>
        <w:wordWrap/>
        <w:overflowPunct/>
        <w:topLinePunct w:val="0"/>
        <w:autoSpaceDE/>
        <w:autoSpaceDN/>
        <w:bidi w:val="0"/>
        <w:adjustRightInd/>
        <w:snapToGrid/>
        <w:spacing w:line="540" w:lineRule="exact"/>
        <w:ind w:left="720" w:leftChars="0"/>
        <w:jc w:val="both"/>
        <w:textAlignment w:val="auto"/>
        <w:rPr>
          <w:rFonts w:hint="eastAsia" w:ascii="楷体" w:hAnsi="楷体" w:eastAsia="楷体" w:cs="楷体"/>
          <w:b w:val="0"/>
          <w:bCs/>
          <w:color w:val="auto"/>
          <w:spacing w:val="20"/>
          <w:sz w:val="32"/>
          <w:szCs w:val="32"/>
          <w:shd w:val="clear" w:color="auto" w:fill="FFFFFF"/>
        </w:rPr>
      </w:pPr>
      <w:r>
        <w:rPr>
          <w:rFonts w:hint="eastAsia" w:ascii="楷体" w:hAnsi="楷体" w:eastAsia="楷体" w:cs="楷体"/>
          <w:b/>
          <w:color w:val="auto"/>
          <w:spacing w:val="20"/>
          <w:sz w:val="32"/>
          <w:szCs w:val="32"/>
          <w:shd w:val="clear" w:color="auto" w:fill="FFFFFF"/>
          <w:lang w:eastAsia="zh-CN"/>
        </w:rPr>
        <w:t>（三）</w:t>
      </w:r>
      <w:r>
        <w:rPr>
          <w:rFonts w:hint="eastAsia" w:ascii="楷体" w:hAnsi="楷体" w:eastAsia="楷体" w:cs="楷体"/>
          <w:b/>
          <w:color w:val="auto"/>
          <w:spacing w:val="20"/>
          <w:sz w:val="32"/>
          <w:szCs w:val="32"/>
          <w:shd w:val="clear" w:color="auto" w:fill="FFFFFF"/>
        </w:rPr>
        <w:t>体育</w:t>
      </w:r>
    </w:p>
    <w:p>
      <w:pPr>
        <w:pStyle w:val="13"/>
        <w:keepNext w:val="0"/>
        <w:keepLines w:val="0"/>
        <w:pageBreakBefore w:val="0"/>
        <w:widowControl w:val="0"/>
        <w:kinsoku/>
        <w:wordWrap/>
        <w:overflowPunct/>
        <w:topLinePunct w:val="0"/>
        <w:autoSpaceDE/>
        <w:autoSpaceDN/>
        <w:bidi w:val="0"/>
        <w:adjustRightInd/>
        <w:snapToGrid/>
        <w:spacing w:after="0" w:line="540" w:lineRule="exact"/>
        <w:ind w:firstLine="640" w:firstLineChars="200"/>
        <w:jc w:val="both"/>
        <w:textAlignment w:val="auto"/>
        <w:rPr>
          <w:rFonts w:hint="eastAsia" w:ascii="仿宋_GB2312" w:hAnsi="仿宋_GB2312" w:eastAsia="仿宋_GB2312" w:cs="仿宋_GB2312"/>
          <w:color w:val="auto"/>
          <w:sz w:val="32"/>
          <w:szCs w:val="32"/>
          <w:lang w:val="en-US" w:eastAsia="zh-CN" w:bidi="ar-SA"/>
        </w:rPr>
      </w:pPr>
      <w:r>
        <w:rPr>
          <w:rFonts w:hint="eastAsia" w:ascii="仿宋_GB2312" w:hAnsi="仿宋_GB2312" w:eastAsia="仿宋_GB2312" w:cs="仿宋_GB2312"/>
          <w:color w:val="auto"/>
          <w:sz w:val="32"/>
          <w:szCs w:val="32"/>
          <w:lang w:val="en-US" w:eastAsia="zh-CN" w:bidi="ar-SA"/>
        </w:rPr>
        <w:t>活力体育之城招牌进一步擦亮，科学有序推动体育旅游示范区创建。海口市获评首批海南省级体育旅游示范区，在国家体育总局体育文化发展中心公布的2023中国体育旅游精品项目中，海口市入选精品体育旅游目的地，海口观澜湖旅游度假区、海口假日海滩旅游区入选精品体育旅游景区。</w:t>
      </w:r>
      <w:r>
        <w:rPr>
          <w:rFonts w:hint="eastAsia" w:ascii="仿宋_GB2312" w:hAnsi="仿宋_GB2312" w:eastAsia="仿宋_GB2312" w:cs="仿宋_GB2312"/>
          <w:color w:val="auto"/>
          <w:sz w:val="32"/>
          <w:szCs w:val="32"/>
          <w:lang w:val="zh-CN" w:eastAsia="zh-CN" w:bidi="ar-SA"/>
        </w:rPr>
        <w:t>精心筹备</w:t>
      </w:r>
      <w:r>
        <w:rPr>
          <w:rFonts w:hint="eastAsia" w:ascii="仿宋_GB2312" w:hAnsi="仿宋_GB2312" w:eastAsia="仿宋_GB2312" w:cs="仿宋_GB2312"/>
          <w:color w:val="auto"/>
          <w:sz w:val="32"/>
          <w:szCs w:val="32"/>
          <w:lang w:val="en-US" w:eastAsia="zh-CN" w:bidi="ar-SA"/>
        </w:rPr>
        <w:t>世界沙滩排球职业巡回赛挑战赛、亚洲尾波滑水系列赛</w:t>
      </w:r>
      <w:r>
        <w:rPr>
          <w:rFonts w:hint="eastAsia" w:ascii="仿宋_GB2312" w:hAnsi="仿宋_GB2312" w:eastAsia="仿宋_GB2312" w:cs="仿宋_GB2312"/>
          <w:color w:val="auto"/>
          <w:sz w:val="32"/>
          <w:szCs w:val="32"/>
          <w:lang w:val="zh-CN" w:eastAsia="zh-CN" w:bidi="ar-SA"/>
        </w:rPr>
        <w:t>，</w:t>
      </w:r>
      <w:r>
        <w:rPr>
          <w:rFonts w:hint="eastAsia" w:ascii="仿宋_GB2312" w:hAnsi="仿宋_GB2312" w:eastAsia="仿宋_GB2312" w:cs="仿宋_GB2312"/>
          <w:color w:val="auto"/>
          <w:sz w:val="32"/>
          <w:szCs w:val="32"/>
          <w:lang w:val="en-US" w:eastAsia="zh-CN" w:bidi="ar-SA"/>
        </w:rPr>
        <w:t>全国帆船锦标赛（ILCA4）暨亚运集训队选拔赛、全国射箭冠军赛、中国无人机竞速公开赛（海南自贸港站）、中国飞镖公开赛（海口站）、全国乒乓球城市挑战赛等品牌赛事。举办国际旅游岛帆船大奖赛海口站总决赛、2023“海口杯”帆船赛、海口市篮球联赛、海口市乡村排球赛、海口市青少年三人篮球联赛，创新组合互动体验、旅游休闲、民俗文化等，不断拓宽群众参与度和体验感。积极开展“海口杯”赛车运动嘉年华等活动。据不完全统计，2023年，海口帆船帆板训练基地、中国足球（南方）训练基地、国家体育训练南方基地（海南海口.沙滩排球）等共接待男足国家队、中国射箭队、国家帆船帆板队、中国沙滩排球国家队、法国沙滩排球国家队等约29支国内外队伍共计86233余人次冬训。</w:t>
      </w:r>
    </w:p>
    <w:p>
      <w:pPr>
        <w:keepNext w:val="0"/>
        <w:keepLines w:val="0"/>
        <w:pageBreakBefore w:val="0"/>
        <w:widowControl/>
        <w:kinsoku/>
        <w:wordWrap/>
        <w:overflowPunct/>
        <w:topLinePunct w:val="0"/>
        <w:autoSpaceDE/>
        <w:autoSpaceDN/>
        <w:bidi w:val="0"/>
        <w:adjustRightInd/>
        <w:snapToGrid/>
        <w:spacing w:line="540" w:lineRule="exact"/>
        <w:ind w:left="0" w:leftChars="0" w:firstLine="720" w:firstLineChars="200"/>
        <w:jc w:val="both"/>
        <w:textAlignment w:val="auto"/>
        <w:rPr>
          <w:rFonts w:hint="eastAsia" w:ascii="黑体" w:hAnsi="黑体" w:eastAsia="黑体" w:cs="黑体"/>
          <w:b w:val="0"/>
          <w:bCs/>
          <w:color w:val="auto"/>
          <w:spacing w:val="20"/>
          <w:sz w:val="32"/>
          <w:szCs w:val="32"/>
          <w:shd w:val="clear" w:color="auto" w:fill="FFFFFF"/>
        </w:rPr>
      </w:pPr>
      <w:r>
        <w:rPr>
          <w:rFonts w:hint="eastAsia" w:ascii="黑体" w:hAnsi="黑体" w:eastAsia="黑体" w:cs="黑体"/>
          <w:b w:val="0"/>
          <w:bCs/>
          <w:color w:val="auto"/>
          <w:spacing w:val="20"/>
          <w:sz w:val="32"/>
          <w:szCs w:val="32"/>
          <w:shd w:val="clear" w:color="auto" w:fill="FFFFFF"/>
        </w:rPr>
        <w:t>六、环境保护</w:t>
      </w:r>
    </w:p>
    <w:p>
      <w:pPr>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仿宋" w:hAnsi="仿宋" w:eastAsia="仿宋" w:cs="仿宋"/>
          <w:color w:val="auto"/>
          <w:spacing w:val="20"/>
          <w:sz w:val="32"/>
          <w:szCs w:val="32"/>
          <w:shd w:val="clear" w:color="auto" w:fill="FFFFFF"/>
          <w:lang w:val="en-US" w:eastAsia="zh-CN" w:bidi="ar-SA"/>
        </w:rPr>
      </w:pPr>
      <w:r>
        <w:rPr>
          <w:rFonts w:hint="eastAsia" w:ascii="仿宋_GB2312" w:hAnsi="仿宋_GB2312" w:eastAsia="仿宋_GB2312" w:cs="仿宋_GB2312"/>
          <w:color w:val="auto"/>
          <w:sz w:val="32"/>
          <w:szCs w:val="32"/>
          <w:lang w:val="en-US" w:eastAsia="zh-CN" w:bidi="ar-SA"/>
        </w:rPr>
        <w:t>2023年，我市城市环境空气质量情况总体良好，空气质量优良率为97.5%，综合指数为2.22，主要污染物PM</w:t>
      </w:r>
      <w:r>
        <w:rPr>
          <w:rFonts w:hint="eastAsia" w:ascii="仿宋_GB2312" w:hAnsi="仿宋_GB2312" w:eastAsia="仿宋_GB2312" w:cs="仿宋_GB2312"/>
          <w:color w:val="auto"/>
          <w:sz w:val="32"/>
          <w:szCs w:val="32"/>
          <w:vertAlign w:val="subscript"/>
          <w:lang w:val="en-US" w:eastAsia="zh-CN" w:bidi="ar-SA"/>
        </w:rPr>
        <w:t>2.5</w:t>
      </w:r>
      <w:r>
        <w:rPr>
          <w:rFonts w:hint="eastAsia" w:ascii="仿宋_GB2312" w:hAnsi="仿宋_GB2312" w:eastAsia="仿宋_GB2312" w:cs="仿宋_GB2312"/>
          <w:color w:val="auto"/>
          <w:sz w:val="32"/>
          <w:szCs w:val="32"/>
          <w:lang w:val="en-US" w:eastAsia="zh-CN" w:bidi="ar-SA"/>
        </w:rPr>
        <w:t>、PM</w:t>
      </w:r>
      <w:r>
        <w:rPr>
          <w:rFonts w:hint="eastAsia" w:ascii="仿宋_GB2312" w:hAnsi="仿宋_GB2312" w:eastAsia="仿宋_GB2312" w:cs="仿宋_GB2312"/>
          <w:color w:val="auto"/>
          <w:sz w:val="32"/>
          <w:szCs w:val="32"/>
          <w:vertAlign w:val="subscript"/>
          <w:lang w:val="en-US" w:eastAsia="zh-CN" w:bidi="ar-SA"/>
        </w:rPr>
        <w:t>10</w:t>
      </w:r>
      <w:r>
        <w:rPr>
          <w:rFonts w:hint="eastAsia" w:ascii="仿宋_GB2312" w:hAnsi="仿宋_GB2312" w:eastAsia="仿宋_GB2312" w:cs="仿宋_GB2312"/>
          <w:color w:val="auto"/>
          <w:sz w:val="32"/>
          <w:szCs w:val="32"/>
          <w:lang w:val="en-US" w:eastAsia="zh-CN" w:bidi="ar-SA"/>
        </w:rPr>
        <w:t>、O</w:t>
      </w:r>
      <w:r>
        <w:rPr>
          <w:rFonts w:hint="eastAsia" w:ascii="仿宋_GB2312" w:hAnsi="仿宋_GB2312" w:eastAsia="仿宋_GB2312" w:cs="仿宋_GB2312"/>
          <w:color w:val="auto"/>
          <w:sz w:val="32"/>
          <w:szCs w:val="32"/>
          <w:vertAlign w:val="subscript"/>
          <w:lang w:val="en-US" w:eastAsia="zh-CN" w:bidi="ar-SA"/>
        </w:rPr>
        <w:t>3</w:t>
      </w:r>
      <w:r>
        <w:rPr>
          <w:rFonts w:hint="eastAsia" w:ascii="仿宋_GB2312" w:hAnsi="仿宋_GB2312" w:eastAsia="仿宋_GB2312" w:cs="仿宋_GB2312"/>
          <w:color w:val="auto"/>
          <w:sz w:val="32"/>
          <w:szCs w:val="32"/>
          <w:lang w:val="en-US" w:eastAsia="zh-CN" w:bidi="ar-SA"/>
        </w:rPr>
        <w:t>、SO</w:t>
      </w:r>
      <w:r>
        <w:rPr>
          <w:rFonts w:hint="eastAsia" w:ascii="仿宋_GB2312" w:hAnsi="仿宋_GB2312" w:eastAsia="仿宋_GB2312" w:cs="仿宋_GB2312"/>
          <w:color w:val="auto"/>
          <w:sz w:val="32"/>
          <w:szCs w:val="32"/>
          <w:vertAlign w:val="subscript"/>
          <w:lang w:val="en-US" w:eastAsia="zh-CN" w:bidi="ar-SA"/>
        </w:rPr>
        <w:t>2</w:t>
      </w:r>
      <w:r>
        <w:rPr>
          <w:rFonts w:hint="eastAsia" w:ascii="仿宋_GB2312" w:hAnsi="仿宋_GB2312" w:eastAsia="仿宋_GB2312" w:cs="仿宋_GB2312"/>
          <w:color w:val="auto"/>
          <w:sz w:val="32"/>
          <w:szCs w:val="32"/>
          <w:lang w:val="en-US" w:eastAsia="zh-CN" w:bidi="ar-SA"/>
        </w:rPr>
        <w:t>、NO</w:t>
      </w:r>
      <w:r>
        <w:rPr>
          <w:rFonts w:hint="eastAsia" w:ascii="仿宋_GB2312" w:hAnsi="仿宋_GB2312" w:eastAsia="仿宋_GB2312" w:cs="仿宋_GB2312"/>
          <w:color w:val="auto"/>
          <w:sz w:val="32"/>
          <w:szCs w:val="32"/>
          <w:vertAlign w:val="subscript"/>
          <w:lang w:val="en-US" w:eastAsia="zh-CN" w:bidi="ar-SA"/>
        </w:rPr>
        <w:t>2</w:t>
      </w:r>
      <w:r>
        <w:rPr>
          <w:rFonts w:hint="eastAsia" w:ascii="仿宋_GB2312" w:hAnsi="仿宋_GB2312" w:eastAsia="仿宋_GB2312" w:cs="仿宋_GB2312"/>
          <w:color w:val="auto"/>
          <w:sz w:val="32"/>
          <w:szCs w:val="32"/>
          <w:lang w:val="en-US" w:eastAsia="zh-CN" w:bidi="ar-SA"/>
        </w:rPr>
        <w:t>、CO六项污染物浓度分别为15.7微克/立方米、29微克/立方米、127微克/立方米、6微克/立方米、11微克/立方米、0.7毫克/立方米，环境空气质量在全国168个重点城市中排名第一。城市集中式饮用水水源水质达标率100%，地表水国控断面水质达标率、省控断面水质优良率均为100%；城镇内河（湖）省考监测断面29个，水质达标率96.6%。国家认定的我市19个黑臭水体，全年各月黑臭消除率均为100%。</w:t>
      </w: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pacing w:val="20"/>
          <w:sz w:val="24"/>
          <w:szCs w:val="24"/>
          <w:shd w:val="clear" w:color="auto" w:fill="FFFFFF"/>
        </w:rPr>
      </w:pPr>
    </w:p>
    <w:p>
      <w:pPr>
        <w:pStyle w:val="15"/>
        <w:rPr>
          <w:rFonts w:hint="eastAsia"/>
          <w:color w:val="auto"/>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pacing w:val="20"/>
          <w:sz w:val="24"/>
          <w:szCs w:val="24"/>
          <w:shd w:val="clear" w:color="auto" w:fill="FFFFFF"/>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pacing w:val="20"/>
          <w:sz w:val="24"/>
          <w:szCs w:val="24"/>
          <w:shd w:val="clear" w:color="auto" w:fill="FFFFFF"/>
        </w:rPr>
      </w:pPr>
    </w:p>
    <w:p>
      <w:pPr>
        <w:keepNext w:val="0"/>
        <w:keepLines w:val="0"/>
        <w:pageBreakBefore w:val="0"/>
        <w:widowControl/>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pacing w:val="20"/>
          <w:sz w:val="24"/>
          <w:szCs w:val="24"/>
          <w:shd w:val="clear" w:color="auto" w:fill="FFFFFF"/>
        </w:rPr>
      </w:pPr>
      <w:r>
        <w:rPr>
          <w:rFonts w:hint="eastAsia" w:ascii="黑体" w:hAnsi="黑体" w:eastAsia="黑体" w:cs="黑体"/>
          <w:color w:val="auto"/>
          <w:spacing w:val="20"/>
          <w:sz w:val="24"/>
          <w:szCs w:val="24"/>
          <w:shd w:val="clear" w:color="auto" w:fill="FFFFFF"/>
        </w:rPr>
        <w:t>注释：</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lang w:eastAsia="zh-CN"/>
        </w:rPr>
      </w:pPr>
      <w:r>
        <w:rPr>
          <w:rFonts w:hint="eastAsia" w:ascii="楷体" w:hAnsi="楷体" w:eastAsia="楷体" w:cs="楷体"/>
          <w:color w:val="auto"/>
          <w:spacing w:val="20"/>
          <w:sz w:val="24"/>
          <w:szCs w:val="24"/>
          <w:shd w:val="clear" w:color="auto" w:fill="FFFFFF"/>
          <w:lang w:val="en-US" w:eastAsia="zh-CN"/>
        </w:rPr>
        <w:t>1.</w:t>
      </w:r>
      <w:r>
        <w:rPr>
          <w:rFonts w:hint="eastAsia" w:ascii="楷体" w:hAnsi="楷体" w:eastAsia="楷体" w:cs="楷体"/>
          <w:color w:val="auto"/>
          <w:spacing w:val="20"/>
          <w:sz w:val="24"/>
          <w:szCs w:val="24"/>
          <w:shd w:val="clear" w:color="auto" w:fill="FFFFFF"/>
        </w:rPr>
        <w:t>本公报部分数据为初步统计数，部分数据为预计数，最终核实数以中国统计出版社出版的《海口统计</w:t>
      </w:r>
      <w:r>
        <w:rPr>
          <w:rFonts w:hint="eastAsia" w:ascii="楷体" w:hAnsi="楷体" w:eastAsia="楷体" w:cs="楷体"/>
          <w:color w:val="auto"/>
          <w:spacing w:val="20"/>
          <w:sz w:val="24"/>
          <w:szCs w:val="24"/>
          <w:shd w:val="clear" w:color="auto" w:fill="FFFFFF"/>
          <w:lang w:eastAsia="zh-CN"/>
        </w:rPr>
        <w:t>年</w:t>
      </w:r>
      <w:r>
        <w:rPr>
          <w:rFonts w:hint="eastAsia" w:ascii="楷体" w:hAnsi="楷体" w:eastAsia="楷体" w:cs="楷体"/>
          <w:color w:val="auto"/>
          <w:spacing w:val="20"/>
          <w:sz w:val="24"/>
          <w:szCs w:val="24"/>
          <w:shd w:val="clear" w:color="auto" w:fill="FFFFFF"/>
        </w:rPr>
        <w:t>鉴</w:t>
      </w:r>
      <w:r>
        <w:rPr>
          <w:rFonts w:hint="eastAsia" w:ascii="楷体" w:hAnsi="楷体" w:eastAsia="楷体" w:cs="楷体"/>
          <w:color w:val="auto"/>
          <w:spacing w:val="20"/>
          <w:sz w:val="24"/>
          <w:szCs w:val="24"/>
          <w:shd w:val="clear" w:color="auto" w:fill="FFFFFF"/>
          <w:lang w:val="en-US" w:eastAsia="zh-CN"/>
        </w:rPr>
        <w:t>2024</w:t>
      </w:r>
      <w:r>
        <w:rPr>
          <w:rFonts w:hint="eastAsia" w:ascii="楷体" w:hAnsi="楷体" w:eastAsia="楷体" w:cs="楷体"/>
          <w:color w:val="auto"/>
          <w:spacing w:val="20"/>
          <w:sz w:val="24"/>
          <w:szCs w:val="24"/>
          <w:shd w:val="clear" w:color="auto" w:fill="FFFFFF"/>
        </w:rPr>
        <w:t>》公布的数据为准</w:t>
      </w:r>
      <w:r>
        <w:rPr>
          <w:rFonts w:hint="eastAsia" w:ascii="楷体" w:hAnsi="楷体" w:eastAsia="楷体" w:cs="楷体"/>
          <w:color w:val="auto"/>
          <w:spacing w:val="20"/>
          <w:sz w:val="24"/>
          <w:szCs w:val="24"/>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lang w:eastAsia="zh-CN"/>
        </w:rPr>
      </w:pPr>
      <w:r>
        <w:rPr>
          <w:rFonts w:hint="eastAsia" w:ascii="楷体" w:hAnsi="楷体" w:eastAsia="楷体" w:cs="楷体"/>
          <w:color w:val="auto"/>
          <w:spacing w:val="20"/>
          <w:sz w:val="24"/>
          <w:szCs w:val="24"/>
          <w:shd w:val="clear" w:color="auto" w:fill="FFFFFF"/>
          <w:lang w:val="en-US" w:eastAsia="zh-CN"/>
        </w:rPr>
        <w:t>2.</w:t>
      </w:r>
      <w:r>
        <w:rPr>
          <w:rFonts w:hint="eastAsia" w:ascii="楷体" w:hAnsi="楷体" w:eastAsia="楷体" w:cs="楷体"/>
          <w:color w:val="auto"/>
          <w:spacing w:val="20"/>
          <w:sz w:val="24"/>
          <w:szCs w:val="24"/>
          <w:shd w:val="clear" w:color="auto" w:fill="FFFFFF"/>
        </w:rPr>
        <w:t>地区生产总值和各产业增加值绝对数按现行价格计算，增长速度按可比价格计算。根据《国民经济行业分类》（GB/T4754-2011）对三次产业进行划分</w:t>
      </w:r>
      <w:r>
        <w:rPr>
          <w:rFonts w:hint="eastAsia" w:ascii="楷体" w:hAnsi="楷体" w:eastAsia="楷体" w:cs="楷体"/>
          <w:color w:val="auto"/>
          <w:spacing w:val="20"/>
          <w:sz w:val="24"/>
          <w:szCs w:val="24"/>
          <w:shd w:val="clear" w:color="auto" w:fill="FFFFFF"/>
          <w:lang w:eastAsia="zh-CN"/>
        </w:rPr>
        <w:t>。</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r>
        <w:rPr>
          <w:rFonts w:hint="eastAsia" w:ascii="楷体" w:hAnsi="楷体" w:eastAsia="楷体" w:cs="楷体"/>
          <w:color w:val="auto"/>
          <w:spacing w:val="20"/>
          <w:sz w:val="24"/>
          <w:szCs w:val="24"/>
          <w:shd w:val="clear" w:color="auto" w:fill="FFFFFF"/>
          <w:lang w:val="en-US" w:eastAsia="zh-CN"/>
        </w:rPr>
        <w:t>3.</w:t>
      </w:r>
      <w:r>
        <w:rPr>
          <w:rFonts w:hint="eastAsia" w:ascii="楷体" w:hAnsi="楷体" w:eastAsia="楷体" w:cs="楷体"/>
          <w:color w:val="auto"/>
          <w:spacing w:val="20"/>
          <w:sz w:val="24"/>
          <w:szCs w:val="24"/>
          <w:shd w:val="clear" w:color="auto" w:fill="FFFFFF"/>
        </w:rPr>
        <w:t>本公报中部分指标合计数与分项数有出入主要是由于四舍五入的原因，均未作机械调整。</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shd w:val="clear" w:color="auto" w:fill="FFFFFF"/>
        </w:rPr>
      </w:pPr>
      <w:r>
        <w:rPr>
          <w:rFonts w:hint="eastAsia" w:ascii="楷体" w:hAnsi="楷体" w:eastAsia="楷体" w:cs="楷体"/>
          <w:color w:val="auto"/>
          <w:spacing w:val="20"/>
          <w:sz w:val="24"/>
          <w:szCs w:val="24"/>
          <w:shd w:val="clear" w:color="auto" w:fill="FFFFFF"/>
        </w:rPr>
        <w:t>资料来源：</w:t>
      </w:r>
    </w:p>
    <w:p>
      <w:pPr>
        <w:keepNext w:val="0"/>
        <w:keepLines w:val="0"/>
        <w:pageBreakBefore w:val="0"/>
        <w:widowControl/>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楷体" w:hAnsi="楷体" w:eastAsia="楷体" w:cs="楷体"/>
          <w:color w:val="auto"/>
          <w:spacing w:val="20"/>
          <w:sz w:val="24"/>
          <w:szCs w:val="24"/>
        </w:rPr>
      </w:pPr>
      <w:r>
        <w:rPr>
          <w:rFonts w:hint="eastAsia" w:ascii="楷体" w:hAnsi="楷体" w:eastAsia="楷体" w:cs="楷体"/>
          <w:color w:val="auto"/>
          <w:spacing w:val="20"/>
          <w:sz w:val="24"/>
          <w:szCs w:val="24"/>
          <w:shd w:val="clear" w:color="auto" w:fill="FFFFFF"/>
        </w:rPr>
        <w:t>本公报中财政数据来自市财政局，</w:t>
      </w:r>
      <w:r>
        <w:rPr>
          <w:rFonts w:hint="eastAsia" w:ascii="楷体" w:hAnsi="楷体" w:eastAsia="楷体" w:cs="楷体"/>
          <w:color w:val="auto"/>
          <w:spacing w:val="20"/>
          <w:sz w:val="24"/>
          <w:szCs w:val="24"/>
          <w:shd w:val="clear" w:color="auto" w:fill="FFFFFF"/>
          <w:lang w:eastAsia="zh-CN"/>
        </w:rPr>
        <w:t>重点项目投资数据来自市发改委，</w:t>
      </w:r>
      <w:r>
        <w:rPr>
          <w:rFonts w:hint="eastAsia" w:ascii="楷体" w:hAnsi="楷体" w:eastAsia="楷体" w:cs="楷体"/>
          <w:color w:val="auto"/>
          <w:spacing w:val="20"/>
          <w:sz w:val="24"/>
          <w:szCs w:val="24"/>
          <w:shd w:val="clear" w:color="auto" w:fill="FFFFFF"/>
        </w:rPr>
        <w:t>江东新区建设数据来自市江东管理局，价格和居民收入数据来自国家统计局海口调查队，对外</w:t>
      </w:r>
      <w:r>
        <w:rPr>
          <w:rFonts w:hint="eastAsia" w:ascii="楷体" w:hAnsi="楷体" w:eastAsia="楷体" w:cs="楷体"/>
          <w:color w:val="auto"/>
          <w:spacing w:val="20"/>
          <w:sz w:val="24"/>
          <w:szCs w:val="24"/>
          <w:shd w:val="clear" w:color="auto" w:fill="FFFFFF"/>
          <w:lang w:eastAsia="zh-CN"/>
        </w:rPr>
        <w:t>贸易、总部经济</w:t>
      </w:r>
      <w:r>
        <w:rPr>
          <w:rFonts w:hint="eastAsia" w:ascii="楷体" w:hAnsi="楷体" w:eastAsia="楷体" w:cs="楷体"/>
          <w:color w:val="auto"/>
          <w:spacing w:val="20"/>
          <w:sz w:val="24"/>
          <w:szCs w:val="24"/>
          <w:shd w:val="clear" w:color="auto" w:fill="FFFFFF"/>
        </w:rPr>
        <w:t>和会展数据来自市商务局，进出口数据来自海口海关，</w:t>
      </w:r>
      <w:r>
        <w:rPr>
          <w:rFonts w:hint="eastAsia" w:ascii="楷体" w:hAnsi="楷体" w:eastAsia="楷体" w:cs="楷体"/>
          <w:color w:val="auto"/>
          <w:spacing w:val="20"/>
          <w:sz w:val="24"/>
          <w:szCs w:val="24"/>
          <w:shd w:val="clear" w:color="auto" w:fill="FFFFFF"/>
          <w:lang w:eastAsia="zh-CN"/>
        </w:rPr>
        <w:t>市场主体数据来自</w:t>
      </w:r>
      <w:r>
        <w:rPr>
          <w:rFonts w:hint="eastAsia" w:ascii="楷体" w:hAnsi="楷体" w:eastAsia="楷体" w:cs="楷体"/>
          <w:color w:val="auto"/>
          <w:spacing w:val="20"/>
          <w:sz w:val="24"/>
          <w:szCs w:val="24"/>
          <w:shd w:val="clear" w:color="auto" w:fill="FFFFFF"/>
        </w:rPr>
        <w:t>市市场监督管理局</w:t>
      </w:r>
      <w:r>
        <w:rPr>
          <w:rFonts w:hint="eastAsia" w:ascii="楷体" w:hAnsi="楷体" w:eastAsia="楷体" w:cs="楷体"/>
          <w:color w:val="auto"/>
          <w:spacing w:val="20"/>
          <w:sz w:val="24"/>
          <w:szCs w:val="24"/>
          <w:shd w:val="clear" w:color="auto" w:fill="FFFFFF"/>
          <w:lang w:eastAsia="zh-CN"/>
        </w:rPr>
        <w:t>，</w:t>
      </w:r>
      <w:r>
        <w:rPr>
          <w:rFonts w:hint="eastAsia" w:ascii="楷体" w:hAnsi="楷体" w:eastAsia="楷体" w:cs="楷体"/>
          <w:color w:val="auto"/>
          <w:spacing w:val="20"/>
          <w:sz w:val="24"/>
          <w:szCs w:val="24"/>
          <w:shd w:val="clear" w:color="auto" w:fill="FFFFFF"/>
        </w:rPr>
        <w:t>货物、旅客运输及周转量、港口吞吐量数据来自市交通港航局、粤海铁公司、南航海南公司、海航公司，邮电通信数据来自市邮政管理局、移动海南公司、电信海南公司、联通海南公司，旅游、文化和体育数据来自市旅文局，社会保险和就业数据来自市人社局，医疗保险数据来自市医疗保障局，教育数据来自市教育局，医疗卫生数据来自市卫健委，</w:t>
      </w:r>
      <w:r>
        <w:rPr>
          <w:rFonts w:hint="eastAsia" w:ascii="楷体" w:hAnsi="楷体" w:eastAsia="楷体" w:cs="楷体"/>
          <w:color w:val="auto"/>
          <w:spacing w:val="20"/>
          <w:sz w:val="24"/>
          <w:szCs w:val="24"/>
          <w:shd w:val="clear" w:color="auto" w:fill="FFFFFF"/>
          <w:lang w:eastAsia="zh-CN"/>
        </w:rPr>
        <w:t>乡村振兴</w:t>
      </w:r>
      <w:r>
        <w:rPr>
          <w:rFonts w:hint="eastAsia" w:ascii="楷体" w:hAnsi="楷体" w:eastAsia="楷体" w:cs="楷体"/>
          <w:color w:val="auto"/>
          <w:spacing w:val="20"/>
          <w:sz w:val="24"/>
          <w:szCs w:val="24"/>
          <w:shd w:val="clear" w:color="auto" w:fill="FFFFFF"/>
        </w:rPr>
        <w:t>数据来自</w:t>
      </w:r>
      <w:r>
        <w:rPr>
          <w:rFonts w:hint="eastAsia" w:ascii="楷体" w:hAnsi="楷体" w:eastAsia="楷体" w:cs="楷体"/>
          <w:color w:val="auto"/>
          <w:spacing w:val="20"/>
          <w:sz w:val="24"/>
          <w:szCs w:val="24"/>
          <w:shd w:val="clear" w:color="auto" w:fill="FFFFFF"/>
          <w:lang w:eastAsia="zh-CN"/>
        </w:rPr>
        <w:t>市乡村振兴局</w:t>
      </w:r>
      <w:r>
        <w:rPr>
          <w:rFonts w:hint="eastAsia" w:ascii="楷体" w:hAnsi="楷体" w:eastAsia="楷体" w:cs="楷体"/>
          <w:color w:val="auto"/>
          <w:spacing w:val="20"/>
          <w:sz w:val="24"/>
          <w:szCs w:val="24"/>
          <w:shd w:val="clear" w:color="auto" w:fill="FFFFFF"/>
        </w:rPr>
        <w:t>，科技数据来自市科工信局，环境保护数据来自市生态环境局，安全生产数据来自市应急管理局，金融、保险和证券</w:t>
      </w:r>
      <w:r>
        <w:rPr>
          <w:rFonts w:hint="eastAsia" w:ascii="楷体" w:hAnsi="楷体" w:eastAsia="楷体" w:cs="楷体"/>
          <w:color w:val="auto"/>
          <w:spacing w:val="20"/>
          <w:sz w:val="24"/>
          <w:szCs w:val="24"/>
          <w:shd w:val="clear" w:color="auto" w:fill="FFFFFF"/>
          <w:lang w:eastAsia="zh-CN"/>
        </w:rPr>
        <w:t>数据来自市金融管理局，</w:t>
      </w:r>
      <w:r>
        <w:rPr>
          <w:rFonts w:hint="eastAsia" w:ascii="楷体" w:hAnsi="楷体" w:eastAsia="楷体" w:cs="楷体"/>
          <w:color w:val="auto"/>
          <w:spacing w:val="20"/>
          <w:sz w:val="24"/>
          <w:szCs w:val="24"/>
          <w:shd w:val="clear" w:color="auto" w:fill="FFFFFF"/>
        </w:rPr>
        <w:t>金融机构数据来自中国人民银行海口中心支行，保险保费收入数据来自中国银行保险监督管理委员会海南监管局，证券交易金额数据来自中国证券监督管理委员会海南监管局，其他数据均来自市统计局。</w:t>
      </w:r>
    </w:p>
    <w:p>
      <w:pPr>
        <w:ind w:left="0" w:leftChars="0"/>
        <w:jc w:val="both"/>
        <w:rPr>
          <w:rFonts w:hint="eastAsia" w:ascii="仿宋" w:hAnsi="仿宋" w:eastAsia="仿宋" w:cs="仿宋"/>
          <w:color w:val="auto"/>
          <w:spacing w:val="20"/>
          <w:sz w:val="28"/>
          <w:szCs w:val="28"/>
          <w:lang w:val="en"/>
        </w:rPr>
      </w:pPr>
    </w:p>
    <w:p>
      <w:pPr>
        <w:spacing w:line="276" w:lineRule="auto"/>
        <w:ind w:left="0" w:leftChars="0"/>
        <w:jc w:val="both"/>
        <w:rPr>
          <w:rFonts w:hint="eastAsia" w:ascii="仿宋" w:hAnsi="仿宋" w:eastAsia="仿宋" w:cs="仿宋"/>
          <w:color w:val="auto"/>
          <w:spacing w:val="20"/>
          <w:sz w:val="28"/>
          <w:szCs w:val="28"/>
          <w:lang w:val="e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2000019F" w:csb1="00000000"/>
  </w:font>
  <w:font w:name="仿宋_GB2312">
    <w:altName w:val="方正仿宋_GBK"/>
    <w:panose1 w:val="02010609030101010101"/>
    <w:charset w:val="86"/>
    <w:family w:val="roma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auto"/>
    <w:pitch w:val="default"/>
    <w:sig w:usb0="00000000" w:usb1="00000000" w:usb2="00000016" w:usb3="00000000" w:csb0="00040001" w:csb1="00000000"/>
  </w:font>
  <w:font w:name="方正黑体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531071120"/>
                            <w:docPartObj>
                              <w:docPartGallery w:val="autotext"/>
                            </w:docPartObj>
                          </w:sdtPr>
                          <w:sdtEndPr>
                            <w:rPr>
                              <w:rFonts w:hint="eastAsia" w:ascii="仿宋" w:hAnsi="仿宋" w:eastAsia="仿宋" w:cs="仿宋"/>
                              <w:sz w:val="28"/>
                              <w:szCs w:val="28"/>
                            </w:rPr>
                          </w:sdtEndPr>
                          <w:sdtContent>
                            <w:p>
                              <w:pPr>
                                <w:pStyle w:val="18"/>
                                <w:jc w:val="left"/>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w:t>
                              </w:r>
                              <w:r>
                                <w:rPr>
                                  <w:rFonts w:hint="eastAsia" w:ascii="仿宋" w:hAnsi="仿宋" w:eastAsia="仿宋" w:cs="仿宋"/>
                                  <w:sz w:val="28"/>
                                  <w:szCs w:val="28"/>
                                </w:rPr>
                                <w:t xml:space="preserve"> 1 -</w:t>
                              </w:r>
                              <w:r>
                                <w:rPr>
                                  <w:rFonts w:hint="eastAsia" w:ascii="仿宋" w:hAnsi="仿宋" w:eastAsia="仿宋" w:cs="仿宋"/>
                                  <w:sz w:val="28"/>
                                  <w:szCs w:val="28"/>
                                </w:rPr>
                                <w:fldChar w:fldCharType="end"/>
                              </w:r>
                            </w:p>
                          </w:sdtContent>
                        </w:sdt>
                        <w:p>
                          <w:pPr>
                            <w:pStyle w:val="3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sdt>
                    <w:sdtPr>
                      <w:id w:val="1531071120"/>
                      <w:docPartObj>
                        <w:docPartGallery w:val="autotext"/>
                      </w:docPartObj>
                    </w:sdtPr>
                    <w:sdtEndPr>
                      <w:rPr>
                        <w:rFonts w:hint="eastAsia" w:ascii="仿宋" w:hAnsi="仿宋" w:eastAsia="仿宋" w:cs="仿宋"/>
                        <w:sz w:val="28"/>
                        <w:szCs w:val="28"/>
                      </w:rPr>
                    </w:sdtEndPr>
                    <w:sdtContent>
                      <w:p>
                        <w:pPr>
                          <w:pStyle w:val="18"/>
                          <w:jc w:val="left"/>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PAGE   \* MERGEFORMAT</w:instrText>
                        </w:r>
                        <w:r>
                          <w:rPr>
                            <w:rFonts w:hint="eastAsia" w:ascii="仿宋" w:hAnsi="仿宋" w:eastAsia="仿宋" w:cs="仿宋"/>
                            <w:sz w:val="28"/>
                            <w:szCs w:val="28"/>
                          </w:rPr>
                          <w:fldChar w:fldCharType="separate"/>
                        </w:r>
                        <w:r>
                          <w:rPr>
                            <w:rFonts w:hint="eastAsia" w:ascii="仿宋" w:hAnsi="仿宋" w:eastAsia="仿宋" w:cs="仿宋"/>
                            <w:sz w:val="28"/>
                            <w:szCs w:val="28"/>
                            <w:lang w:val="zh-CN"/>
                          </w:rPr>
                          <w:t>-</w:t>
                        </w:r>
                        <w:r>
                          <w:rPr>
                            <w:rFonts w:hint="eastAsia" w:ascii="仿宋" w:hAnsi="仿宋" w:eastAsia="仿宋" w:cs="仿宋"/>
                            <w:sz w:val="28"/>
                            <w:szCs w:val="28"/>
                          </w:rPr>
                          <w:t xml:space="preserve"> 1 -</w:t>
                        </w:r>
                        <w:r>
                          <w:rPr>
                            <w:rFonts w:hint="eastAsia" w:ascii="仿宋" w:hAnsi="仿宋" w:eastAsia="仿宋" w:cs="仿宋"/>
                            <w:sz w:val="28"/>
                            <w:szCs w:val="28"/>
                          </w:rPr>
                          <w:fldChar w:fldCharType="end"/>
                        </w:r>
                      </w:p>
                    </w:sdtContent>
                  </w:sdt>
                  <w:p>
                    <w:pPr>
                      <w:pStyle w:val="32"/>
                    </w:pPr>
                  </w:p>
                </w:txbxContent>
              </v:textbox>
            </v:shape>
          </w:pict>
        </mc:Fallback>
      </mc:AlternateContent>
    </w:r>
  </w:p>
  <w:p>
    <w:pPr>
      <w:pStyle w:val="1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U4ZWRjYmMwZjhlNjcxNDUwNDYyNWNiNTcyZjY3OTQifQ=="/>
    <w:docVar w:name="KSO_WPS_MARK_KEY" w:val="a2b9dae9-b220-4350-b7f3-c9011038e2c1"/>
  </w:docVars>
  <w:rsids>
    <w:rsidRoot w:val="10F07257"/>
    <w:rsid w:val="000301C7"/>
    <w:rsid w:val="00035EEB"/>
    <w:rsid w:val="00055E0E"/>
    <w:rsid w:val="0008182A"/>
    <w:rsid w:val="000B5553"/>
    <w:rsid w:val="001265C8"/>
    <w:rsid w:val="00142238"/>
    <w:rsid w:val="0018081C"/>
    <w:rsid w:val="001A25D1"/>
    <w:rsid w:val="001F3907"/>
    <w:rsid w:val="002102A3"/>
    <w:rsid w:val="00211CB6"/>
    <w:rsid w:val="00212C5E"/>
    <w:rsid w:val="002467AE"/>
    <w:rsid w:val="00254D8A"/>
    <w:rsid w:val="002819F5"/>
    <w:rsid w:val="002B23E4"/>
    <w:rsid w:val="002E3723"/>
    <w:rsid w:val="00300C05"/>
    <w:rsid w:val="0031448E"/>
    <w:rsid w:val="00344C52"/>
    <w:rsid w:val="003461F2"/>
    <w:rsid w:val="0035329C"/>
    <w:rsid w:val="0038779B"/>
    <w:rsid w:val="003933CA"/>
    <w:rsid w:val="00393DE1"/>
    <w:rsid w:val="003D24A7"/>
    <w:rsid w:val="003E0675"/>
    <w:rsid w:val="003E104B"/>
    <w:rsid w:val="0040361E"/>
    <w:rsid w:val="004152AD"/>
    <w:rsid w:val="00426ACA"/>
    <w:rsid w:val="00433018"/>
    <w:rsid w:val="00451B2D"/>
    <w:rsid w:val="00473F04"/>
    <w:rsid w:val="0048591E"/>
    <w:rsid w:val="004A0BDB"/>
    <w:rsid w:val="004A5B24"/>
    <w:rsid w:val="004C5505"/>
    <w:rsid w:val="004E1F50"/>
    <w:rsid w:val="004E6ED3"/>
    <w:rsid w:val="004F73E5"/>
    <w:rsid w:val="005049F2"/>
    <w:rsid w:val="005101A9"/>
    <w:rsid w:val="005203CE"/>
    <w:rsid w:val="00532CBD"/>
    <w:rsid w:val="00551405"/>
    <w:rsid w:val="00573DF8"/>
    <w:rsid w:val="005913CF"/>
    <w:rsid w:val="005B6B1D"/>
    <w:rsid w:val="005E6077"/>
    <w:rsid w:val="005E6BA1"/>
    <w:rsid w:val="006201A4"/>
    <w:rsid w:val="006244EC"/>
    <w:rsid w:val="0063068F"/>
    <w:rsid w:val="00684156"/>
    <w:rsid w:val="006A4D16"/>
    <w:rsid w:val="006C065C"/>
    <w:rsid w:val="007441A7"/>
    <w:rsid w:val="007629EE"/>
    <w:rsid w:val="00777802"/>
    <w:rsid w:val="007918A8"/>
    <w:rsid w:val="008001EA"/>
    <w:rsid w:val="0082137B"/>
    <w:rsid w:val="00837C7A"/>
    <w:rsid w:val="00847578"/>
    <w:rsid w:val="00875CA1"/>
    <w:rsid w:val="00883366"/>
    <w:rsid w:val="008A68EB"/>
    <w:rsid w:val="008C5146"/>
    <w:rsid w:val="008D2081"/>
    <w:rsid w:val="009143B9"/>
    <w:rsid w:val="00917C17"/>
    <w:rsid w:val="00971B56"/>
    <w:rsid w:val="009A7BC7"/>
    <w:rsid w:val="009B2F60"/>
    <w:rsid w:val="009B478D"/>
    <w:rsid w:val="009C15C1"/>
    <w:rsid w:val="009C192C"/>
    <w:rsid w:val="009F41C8"/>
    <w:rsid w:val="009F6E65"/>
    <w:rsid w:val="00A064D5"/>
    <w:rsid w:val="00A73E42"/>
    <w:rsid w:val="00AA0242"/>
    <w:rsid w:val="00AB1AC5"/>
    <w:rsid w:val="00AB2529"/>
    <w:rsid w:val="00AB288F"/>
    <w:rsid w:val="00AB6370"/>
    <w:rsid w:val="00AE599C"/>
    <w:rsid w:val="00AF7F7B"/>
    <w:rsid w:val="00B04469"/>
    <w:rsid w:val="00B271A9"/>
    <w:rsid w:val="00B36070"/>
    <w:rsid w:val="00B501C6"/>
    <w:rsid w:val="00B57DAD"/>
    <w:rsid w:val="00B73EEE"/>
    <w:rsid w:val="00B76D62"/>
    <w:rsid w:val="00BA42EA"/>
    <w:rsid w:val="00BB24CA"/>
    <w:rsid w:val="00BC264D"/>
    <w:rsid w:val="00BC62F1"/>
    <w:rsid w:val="00BD248A"/>
    <w:rsid w:val="00BE7675"/>
    <w:rsid w:val="00C00267"/>
    <w:rsid w:val="00C530A8"/>
    <w:rsid w:val="00C571DD"/>
    <w:rsid w:val="00C57228"/>
    <w:rsid w:val="00C812C2"/>
    <w:rsid w:val="00C83370"/>
    <w:rsid w:val="00C9589D"/>
    <w:rsid w:val="00CB31F2"/>
    <w:rsid w:val="00CD5495"/>
    <w:rsid w:val="00CE0AE2"/>
    <w:rsid w:val="00CF6F64"/>
    <w:rsid w:val="00D21A2A"/>
    <w:rsid w:val="00D5649C"/>
    <w:rsid w:val="00D578ED"/>
    <w:rsid w:val="00D629DF"/>
    <w:rsid w:val="00D80281"/>
    <w:rsid w:val="00D81C2A"/>
    <w:rsid w:val="00D879ED"/>
    <w:rsid w:val="00D93C92"/>
    <w:rsid w:val="00DA2BBD"/>
    <w:rsid w:val="00DB06DF"/>
    <w:rsid w:val="00E05930"/>
    <w:rsid w:val="00E152B0"/>
    <w:rsid w:val="00E163C4"/>
    <w:rsid w:val="00E24E2C"/>
    <w:rsid w:val="00E2646D"/>
    <w:rsid w:val="00E76B3B"/>
    <w:rsid w:val="00EB3F89"/>
    <w:rsid w:val="00EB7EB7"/>
    <w:rsid w:val="00EC3A6F"/>
    <w:rsid w:val="00EC6C3B"/>
    <w:rsid w:val="00EF112B"/>
    <w:rsid w:val="00EF2F15"/>
    <w:rsid w:val="00F175C6"/>
    <w:rsid w:val="00F4731D"/>
    <w:rsid w:val="00F639FA"/>
    <w:rsid w:val="00FB50E5"/>
    <w:rsid w:val="00FC0400"/>
    <w:rsid w:val="00FC5A80"/>
    <w:rsid w:val="00FC687D"/>
    <w:rsid w:val="00FD5833"/>
    <w:rsid w:val="00FE0A01"/>
    <w:rsid w:val="02433675"/>
    <w:rsid w:val="02714B77"/>
    <w:rsid w:val="02FF7C6D"/>
    <w:rsid w:val="03280EF8"/>
    <w:rsid w:val="03E6737E"/>
    <w:rsid w:val="03F51276"/>
    <w:rsid w:val="03F759F4"/>
    <w:rsid w:val="04765A9B"/>
    <w:rsid w:val="04C335CE"/>
    <w:rsid w:val="04C51326"/>
    <w:rsid w:val="05527B8C"/>
    <w:rsid w:val="0560013E"/>
    <w:rsid w:val="05FC576D"/>
    <w:rsid w:val="07D957A7"/>
    <w:rsid w:val="07EAA253"/>
    <w:rsid w:val="081C47E2"/>
    <w:rsid w:val="083E71A7"/>
    <w:rsid w:val="087D4A68"/>
    <w:rsid w:val="08B32A38"/>
    <w:rsid w:val="09645F3F"/>
    <w:rsid w:val="09EF2013"/>
    <w:rsid w:val="0A7E16F8"/>
    <w:rsid w:val="0A8A1883"/>
    <w:rsid w:val="0A8D5701"/>
    <w:rsid w:val="0B6D02B9"/>
    <w:rsid w:val="0C0109D6"/>
    <w:rsid w:val="0D897E36"/>
    <w:rsid w:val="0E4670B5"/>
    <w:rsid w:val="0E9029FF"/>
    <w:rsid w:val="0EFFC7C3"/>
    <w:rsid w:val="0FC47022"/>
    <w:rsid w:val="0FFD92A9"/>
    <w:rsid w:val="107817A8"/>
    <w:rsid w:val="10F07257"/>
    <w:rsid w:val="11C6025A"/>
    <w:rsid w:val="12101C50"/>
    <w:rsid w:val="12380A2C"/>
    <w:rsid w:val="125B2C2D"/>
    <w:rsid w:val="13C57CB5"/>
    <w:rsid w:val="148610B9"/>
    <w:rsid w:val="14BB60DE"/>
    <w:rsid w:val="1558353C"/>
    <w:rsid w:val="16FBCFB1"/>
    <w:rsid w:val="17896EDE"/>
    <w:rsid w:val="18154982"/>
    <w:rsid w:val="1899BBA3"/>
    <w:rsid w:val="18F90F15"/>
    <w:rsid w:val="195A6C05"/>
    <w:rsid w:val="1B1BC373"/>
    <w:rsid w:val="1BE614F8"/>
    <w:rsid w:val="1BF5D203"/>
    <w:rsid w:val="1D036FD3"/>
    <w:rsid w:val="1D6F5747"/>
    <w:rsid w:val="1D9850AD"/>
    <w:rsid w:val="1DB74C09"/>
    <w:rsid w:val="1E2732BF"/>
    <w:rsid w:val="1E3FEB1C"/>
    <w:rsid w:val="1EBF35BD"/>
    <w:rsid w:val="1EE78EA8"/>
    <w:rsid w:val="1EF9B1AF"/>
    <w:rsid w:val="1F07DF64"/>
    <w:rsid w:val="1F437284"/>
    <w:rsid w:val="1F8970AC"/>
    <w:rsid w:val="1F8C9FA3"/>
    <w:rsid w:val="1FD19BE8"/>
    <w:rsid w:val="1FFEF8F3"/>
    <w:rsid w:val="204C2FC9"/>
    <w:rsid w:val="20916A0B"/>
    <w:rsid w:val="213847BA"/>
    <w:rsid w:val="219604D9"/>
    <w:rsid w:val="21AB58D2"/>
    <w:rsid w:val="22C7694C"/>
    <w:rsid w:val="23231D96"/>
    <w:rsid w:val="23264B0A"/>
    <w:rsid w:val="23BE199E"/>
    <w:rsid w:val="24044E64"/>
    <w:rsid w:val="26971D6D"/>
    <w:rsid w:val="27C40A90"/>
    <w:rsid w:val="27D40A78"/>
    <w:rsid w:val="282F77C0"/>
    <w:rsid w:val="2A022B07"/>
    <w:rsid w:val="2D2421AB"/>
    <w:rsid w:val="2DC80565"/>
    <w:rsid w:val="2DEC5317"/>
    <w:rsid w:val="2E453928"/>
    <w:rsid w:val="2E4A1F09"/>
    <w:rsid w:val="2EA77B5D"/>
    <w:rsid w:val="2EAB6C8C"/>
    <w:rsid w:val="2EC314DF"/>
    <w:rsid w:val="2EE8585B"/>
    <w:rsid w:val="2EFF5F2A"/>
    <w:rsid w:val="2F1F84C1"/>
    <w:rsid w:val="2F7E4AE9"/>
    <w:rsid w:val="2FBC5E66"/>
    <w:rsid w:val="2FFF92B6"/>
    <w:rsid w:val="30192405"/>
    <w:rsid w:val="303F663D"/>
    <w:rsid w:val="30524C6A"/>
    <w:rsid w:val="30B54863"/>
    <w:rsid w:val="314A4D76"/>
    <w:rsid w:val="31F97F95"/>
    <w:rsid w:val="32FF058F"/>
    <w:rsid w:val="33E30E95"/>
    <w:rsid w:val="33E72F22"/>
    <w:rsid w:val="3409609A"/>
    <w:rsid w:val="34654A2F"/>
    <w:rsid w:val="34944FE4"/>
    <w:rsid w:val="35236B0D"/>
    <w:rsid w:val="35690D78"/>
    <w:rsid w:val="35CC3100"/>
    <w:rsid w:val="35D35EC4"/>
    <w:rsid w:val="35D726C3"/>
    <w:rsid w:val="363D6E70"/>
    <w:rsid w:val="365009E6"/>
    <w:rsid w:val="367F8E27"/>
    <w:rsid w:val="36931FC8"/>
    <w:rsid w:val="36FF46BC"/>
    <w:rsid w:val="37F9B4A4"/>
    <w:rsid w:val="37FFF861"/>
    <w:rsid w:val="383B0472"/>
    <w:rsid w:val="393E0D4E"/>
    <w:rsid w:val="39D7C682"/>
    <w:rsid w:val="3A6B6AE2"/>
    <w:rsid w:val="3A9401A3"/>
    <w:rsid w:val="3AF258BC"/>
    <w:rsid w:val="3BAD35A1"/>
    <w:rsid w:val="3BBF16F2"/>
    <w:rsid w:val="3BE15213"/>
    <w:rsid w:val="3BEDCBD7"/>
    <w:rsid w:val="3C1F51CF"/>
    <w:rsid w:val="3C951173"/>
    <w:rsid w:val="3DEEDB89"/>
    <w:rsid w:val="3DF712CA"/>
    <w:rsid w:val="3DF9D3EB"/>
    <w:rsid w:val="3DFF4D0B"/>
    <w:rsid w:val="3E17216F"/>
    <w:rsid w:val="3E7176E7"/>
    <w:rsid w:val="3E7F9918"/>
    <w:rsid w:val="3EA77AC3"/>
    <w:rsid w:val="3EE69555"/>
    <w:rsid w:val="3EEFB127"/>
    <w:rsid w:val="3EF22775"/>
    <w:rsid w:val="3EFB9A37"/>
    <w:rsid w:val="3F5550E0"/>
    <w:rsid w:val="3F6A0566"/>
    <w:rsid w:val="3F9B12B3"/>
    <w:rsid w:val="3FA6475E"/>
    <w:rsid w:val="3FBF0FA7"/>
    <w:rsid w:val="3FBFA925"/>
    <w:rsid w:val="3FC6E5C8"/>
    <w:rsid w:val="3FD77052"/>
    <w:rsid w:val="3FDF7194"/>
    <w:rsid w:val="3FEF8D27"/>
    <w:rsid w:val="3FF40F3F"/>
    <w:rsid w:val="3FF53085"/>
    <w:rsid w:val="3FFBD408"/>
    <w:rsid w:val="3FFC9879"/>
    <w:rsid w:val="3FFD51B7"/>
    <w:rsid w:val="3FFDBEDE"/>
    <w:rsid w:val="40282AF1"/>
    <w:rsid w:val="40B06D2F"/>
    <w:rsid w:val="410517F8"/>
    <w:rsid w:val="418179C9"/>
    <w:rsid w:val="4222201C"/>
    <w:rsid w:val="437C8C73"/>
    <w:rsid w:val="43E22422"/>
    <w:rsid w:val="44606D4A"/>
    <w:rsid w:val="44FBC748"/>
    <w:rsid w:val="461521C5"/>
    <w:rsid w:val="46765C0C"/>
    <w:rsid w:val="46DB1C83"/>
    <w:rsid w:val="47687935"/>
    <w:rsid w:val="47A70BB9"/>
    <w:rsid w:val="47AD1033"/>
    <w:rsid w:val="47FB8FE3"/>
    <w:rsid w:val="48074B4D"/>
    <w:rsid w:val="4876582E"/>
    <w:rsid w:val="489E6FA2"/>
    <w:rsid w:val="48A72109"/>
    <w:rsid w:val="49170DBF"/>
    <w:rsid w:val="4AAF3352"/>
    <w:rsid w:val="4B1D18DA"/>
    <w:rsid w:val="4B5F6F8A"/>
    <w:rsid w:val="4B6F64EC"/>
    <w:rsid w:val="4BA54AD2"/>
    <w:rsid w:val="4BABCEC8"/>
    <w:rsid w:val="4BAE49B2"/>
    <w:rsid w:val="4BD10F70"/>
    <w:rsid w:val="4C101878"/>
    <w:rsid w:val="4C340A17"/>
    <w:rsid w:val="4D4F0EAB"/>
    <w:rsid w:val="4E5C6E1D"/>
    <w:rsid w:val="4E625361"/>
    <w:rsid w:val="4E754565"/>
    <w:rsid w:val="4EAE5F1C"/>
    <w:rsid w:val="4EFB155E"/>
    <w:rsid w:val="4F515061"/>
    <w:rsid w:val="4F9654FE"/>
    <w:rsid w:val="4FBECF52"/>
    <w:rsid w:val="4FCF15AF"/>
    <w:rsid w:val="4FD06463"/>
    <w:rsid w:val="4FED7C3E"/>
    <w:rsid w:val="4FFBE38A"/>
    <w:rsid w:val="4FFEFBDC"/>
    <w:rsid w:val="5018136F"/>
    <w:rsid w:val="502E3BAF"/>
    <w:rsid w:val="51894824"/>
    <w:rsid w:val="51C55F88"/>
    <w:rsid w:val="52E44A4C"/>
    <w:rsid w:val="53EF14DC"/>
    <w:rsid w:val="540D4010"/>
    <w:rsid w:val="54606F27"/>
    <w:rsid w:val="547E43A0"/>
    <w:rsid w:val="556343D0"/>
    <w:rsid w:val="5675066B"/>
    <w:rsid w:val="577E180E"/>
    <w:rsid w:val="57867C67"/>
    <w:rsid w:val="579E48AC"/>
    <w:rsid w:val="57C3E003"/>
    <w:rsid w:val="57DD34D6"/>
    <w:rsid w:val="57E7E637"/>
    <w:rsid w:val="5836637E"/>
    <w:rsid w:val="58B754BC"/>
    <w:rsid w:val="591A5AC6"/>
    <w:rsid w:val="59292BED"/>
    <w:rsid w:val="59330D43"/>
    <w:rsid w:val="593FA382"/>
    <w:rsid w:val="59CD713B"/>
    <w:rsid w:val="59E978EB"/>
    <w:rsid w:val="5AB02685"/>
    <w:rsid w:val="5AD344BE"/>
    <w:rsid w:val="5AED63A9"/>
    <w:rsid w:val="5B388D74"/>
    <w:rsid w:val="5BBF470D"/>
    <w:rsid w:val="5BF62AFE"/>
    <w:rsid w:val="5BFD399A"/>
    <w:rsid w:val="5BFFAEB1"/>
    <w:rsid w:val="5C0D32B1"/>
    <w:rsid w:val="5C3F5C88"/>
    <w:rsid w:val="5C6B281F"/>
    <w:rsid w:val="5C7EE876"/>
    <w:rsid w:val="5C844566"/>
    <w:rsid w:val="5CAF0179"/>
    <w:rsid w:val="5CE62698"/>
    <w:rsid w:val="5D53798E"/>
    <w:rsid w:val="5D591684"/>
    <w:rsid w:val="5D6E7274"/>
    <w:rsid w:val="5DCEF3F9"/>
    <w:rsid w:val="5DEC316C"/>
    <w:rsid w:val="5DEFB8A7"/>
    <w:rsid w:val="5DFEC498"/>
    <w:rsid w:val="5E0B6F62"/>
    <w:rsid w:val="5E236D4E"/>
    <w:rsid w:val="5E5B053B"/>
    <w:rsid w:val="5EABB47D"/>
    <w:rsid w:val="5EB02E17"/>
    <w:rsid w:val="5ED04705"/>
    <w:rsid w:val="5EE53F47"/>
    <w:rsid w:val="5EF3990A"/>
    <w:rsid w:val="5F3E8545"/>
    <w:rsid w:val="5F8D486B"/>
    <w:rsid w:val="5FD16CB6"/>
    <w:rsid w:val="5FD73B2F"/>
    <w:rsid w:val="5FD7531F"/>
    <w:rsid w:val="5FDBEEC3"/>
    <w:rsid w:val="5FDFA8FC"/>
    <w:rsid w:val="5FE7EFBE"/>
    <w:rsid w:val="5FF4F2B5"/>
    <w:rsid w:val="5FFDCEB0"/>
    <w:rsid w:val="60C1173A"/>
    <w:rsid w:val="61F4CD76"/>
    <w:rsid w:val="62521299"/>
    <w:rsid w:val="62C65B17"/>
    <w:rsid w:val="636E2941"/>
    <w:rsid w:val="639F01D8"/>
    <w:rsid w:val="63A909C3"/>
    <w:rsid w:val="63FF8C5A"/>
    <w:rsid w:val="64BE18B7"/>
    <w:rsid w:val="65E80EF3"/>
    <w:rsid w:val="65FB8ADA"/>
    <w:rsid w:val="668840A9"/>
    <w:rsid w:val="66EEAD38"/>
    <w:rsid w:val="66F611E1"/>
    <w:rsid w:val="677FEAA4"/>
    <w:rsid w:val="67EE8628"/>
    <w:rsid w:val="67F6D342"/>
    <w:rsid w:val="68706833"/>
    <w:rsid w:val="69ED0EAF"/>
    <w:rsid w:val="69F9ACC8"/>
    <w:rsid w:val="6ACF745E"/>
    <w:rsid w:val="6B33053A"/>
    <w:rsid w:val="6B678D3E"/>
    <w:rsid w:val="6B7D4766"/>
    <w:rsid w:val="6BF54915"/>
    <w:rsid w:val="6BF77BAD"/>
    <w:rsid w:val="6CFBBB8B"/>
    <w:rsid w:val="6D3A5014"/>
    <w:rsid w:val="6DBFFB99"/>
    <w:rsid w:val="6DD16AEE"/>
    <w:rsid w:val="6DD5E432"/>
    <w:rsid w:val="6DFF27DC"/>
    <w:rsid w:val="6DFF2B44"/>
    <w:rsid w:val="6E3F34E9"/>
    <w:rsid w:val="6EBE029B"/>
    <w:rsid w:val="6EE73B62"/>
    <w:rsid w:val="6EFE1C1A"/>
    <w:rsid w:val="6F77CF65"/>
    <w:rsid w:val="6F7E7EE6"/>
    <w:rsid w:val="6FA5C5A9"/>
    <w:rsid w:val="6FCEB7FB"/>
    <w:rsid w:val="6FD96485"/>
    <w:rsid w:val="6FDFD9E5"/>
    <w:rsid w:val="6FE7DC24"/>
    <w:rsid w:val="6FEE9B3D"/>
    <w:rsid w:val="6FF5D229"/>
    <w:rsid w:val="6FFF99E8"/>
    <w:rsid w:val="6FFFB87C"/>
    <w:rsid w:val="70DB2423"/>
    <w:rsid w:val="71313241"/>
    <w:rsid w:val="71895888"/>
    <w:rsid w:val="718E3C2E"/>
    <w:rsid w:val="71921E37"/>
    <w:rsid w:val="7193A797"/>
    <w:rsid w:val="719CE1B9"/>
    <w:rsid w:val="71A1480F"/>
    <w:rsid w:val="71FFD6A0"/>
    <w:rsid w:val="723BC2EB"/>
    <w:rsid w:val="728E2F07"/>
    <w:rsid w:val="73425513"/>
    <w:rsid w:val="735DC0A6"/>
    <w:rsid w:val="73BC4AE7"/>
    <w:rsid w:val="73D4AEFE"/>
    <w:rsid w:val="73FE7A43"/>
    <w:rsid w:val="73FF56DA"/>
    <w:rsid w:val="744A4EE4"/>
    <w:rsid w:val="747BF03D"/>
    <w:rsid w:val="74F734CE"/>
    <w:rsid w:val="7577F637"/>
    <w:rsid w:val="75CD2782"/>
    <w:rsid w:val="75DE3F8B"/>
    <w:rsid w:val="75F9B269"/>
    <w:rsid w:val="76506777"/>
    <w:rsid w:val="76EBACC8"/>
    <w:rsid w:val="76F31922"/>
    <w:rsid w:val="76F6DB8C"/>
    <w:rsid w:val="76FE80BD"/>
    <w:rsid w:val="76FF0B4B"/>
    <w:rsid w:val="76FFBE98"/>
    <w:rsid w:val="76FFDDCF"/>
    <w:rsid w:val="773B12CB"/>
    <w:rsid w:val="77522D09"/>
    <w:rsid w:val="77773DC7"/>
    <w:rsid w:val="777D4F52"/>
    <w:rsid w:val="77AEDD5B"/>
    <w:rsid w:val="77AF5F0C"/>
    <w:rsid w:val="77B2BE19"/>
    <w:rsid w:val="77BB33F6"/>
    <w:rsid w:val="77CA6168"/>
    <w:rsid w:val="77DC7ACF"/>
    <w:rsid w:val="77EA82F6"/>
    <w:rsid w:val="77F7FFFE"/>
    <w:rsid w:val="77FAB2B9"/>
    <w:rsid w:val="78500CC2"/>
    <w:rsid w:val="78E53775"/>
    <w:rsid w:val="79056ACF"/>
    <w:rsid w:val="795B5FC5"/>
    <w:rsid w:val="797EAB13"/>
    <w:rsid w:val="79FB49AE"/>
    <w:rsid w:val="7ABF4204"/>
    <w:rsid w:val="7AD07CCB"/>
    <w:rsid w:val="7AD7E8A0"/>
    <w:rsid w:val="7B7D4B31"/>
    <w:rsid w:val="7B976C84"/>
    <w:rsid w:val="7BBF8CB4"/>
    <w:rsid w:val="7BBFD6AB"/>
    <w:rsid w:val="7BC8498D"/>
    <w:rsid w:val="7BCDCB3F"/>
    <w:rsid w:val="7BDACAAB"/>
    <w:rsid w:val="7BDE64C2"/>
    <w:rsid w:val="7BFA2207"/>
    <w:rsid w:val="7BFE7E47"/>
    <w:rsid w:val="7BFE8E97"/>
    <w:rsid w:val="7BFF58DE"/>
    <w:rsid w:val="7BFF9155"/>
    <w:rsid w:val="7C3F9BE3"/>
    <w:rsid w:val="7C6E91CF"/>
    <w:rsid w:val="7C7B52CD"/>
    <w:rsid w:val="7CBD3DA6"/>
    <w:rsid w:val="7CE7270D"/>
    <w:rsid w:val="7CE94D5E"/>
    <w:rsid w:val="7CFB3C43"/>
    <w:rsid w:val="7CFBFD3E"/>
    <w:rsid w:val="7D3FFF46"/>
    <w:rsid w:val="7D5B61C9"/>
    <w:rsid w:val="7D5E37EC"/>
    <w:rsid w:val="7D66C405"/>
    <w:rsid w:val="7D6D6051"/>
    <w:rsid w:val="7D772553"/>
    <w:rsid w:val="7D7F7202"/>
    <w:rsid w:val="7D8A7C19"/>
    <w:rsid w:val="7DDDB5F4"/>
    <w:rsid w:val="7DE79F1F"/>
    <w:rsid w:val="7DE9A496"/>
    <w:rsid w:val="7DEA7452"/>
    <w:rsid w:val="7DEBFD15"/>
    <w:rsid w:val="7DEF9235"/>
    <w:rsid w:val="7DFF3B97"/>
    <w:rsid w:val="7DFF4A91"/>
    <w:rsid w:val="7DFFA4CA"/>
    <w:rsid w:val="7E7FA97F"/>
    <w:rsid w:val="7E8A6538"/>
    <w:rsid w:val="7EB36BB4"/>
    <w:rsid w:val="7ECB6AD2"/>
    <w:rsid w:val="7ECB95EA"/>
    <w:rsid w:val="7EEBE57F"/>
    <w:rsid w:val="7EF11CB3"/>
    <w:rsid w:val="7EF78833"/>
    <w:rsid w:val="7EFB5CD8"/>
    <w:rsid w:val="7EFB85BE"/>
    <w:rsid w:val="7EFB9930"/>
    <w:rsid w:val="7EFF2855"/>
    <w:rsid w:val="7F3EBDC4"/>
    <w:rsid w:val="7F3F66E3"/>
    <w:rsid w:val="7F43F6CA"/>
    <w:rsid w:val="7F5A18FC"/>
    <w:rsid w:val="7F5F4AD5"/>
    <w:rsid w:val="7F64AFE1"/>
    <w:rsid w:val="7F6D8397"/>
    <w:rsid w:val="7F79C62E"/>
    <w:rsid w:val="7F7B1949"/>
    <w:rsid w:val="7F7D5D41"/>
    <w:rsid w:val="7F7EBBD9"/>
    <w:rsid w:val="7F7F7462"/>
    <w:rsid w:val="7F979350"/>
    <w:rsid w:val="7F9FB3AF"/>
    <w:rsid w:val="7FB26EA1"/>
    <w:rsid w:val="7FBEAD6C"/>
    <w:rsid w:val="7FBF908C"/>
    <w:rsid w:val="7FBFFB92"/>
    <w:rsid w:val="7FD3C74C"/>
    <w:rsid w:val="7FD7E10C"/>
    <w:rsid w:val="7FD9E391"/>
    <w:rsid w:val="7FDB978A"/>
    <w:rsid w:val="7FDBF9EF"/>
    <w:rsid w:val="7FEB4D2C"/>
    <w:rsid w:val="7FED16D6"/>
    <w:rsid w:val="7FEF6BA9"/>
    <w:rsid w:val="7FEF9C8B"/>
    <w:rsid w:val="7FF2BF11"/>
    <w:rsid w:val="7FF52A7C"/>
    <w:rsid w:val="7FF64165"/>
    <w:rsid w:val="7FF943D9"/>
    <w:rsid w:val="7FFB67FB"/>
    <w:rsid w:val="7FFB8F90"/>
    <w:rsid w:val="7FFC222E"/>
    <w:rsid w:val="7FFF180F"/>
    <w:rsid w:val="7FFF59D9"/>
    <w:rsid w:val="7FFF9DDB"/>
    <w:rsid w:val="7FFFB3C6"/>
    <w:rsid w:val="7FFFDB88"/>
    <w:rsid w:val="7FFFE9EE"/>
    <w:rsid w:val="84E40E35"/>
    <w:rsid w:val="87CDFC5B"/>
    <w:rsid w:val="87F6418A"/>
    <w:rsid w:val="89FF15D0"/>
    <w:rsid w:val="8C83E0EC"/>
    <w:rsid w:val="8DBBD0F3"/>
    <w:rsid w:val="8DF79D21"/>
    <w:rsid w:val="8FF7E6C7"/>
    <w:rsid w:val="8FFFC494"/>
    <w:rsid w:val="927ED38D"/>
    <w:rsid w:val="93DEB67D"/>
    <w:rsid w:val="95EB4B6F"/>
    <w:rsid w:val="96B916D5"/>
    <w:rsid w:val="96FFB498"/>
    <w:rsid w:val="97D77752"/>
    <w:rsid w:val="99B73408"/>
    <w:rsid w:val="9B6F4178"/>
    <w:rsid w:val="9BFE36DF"/>
    <w:rsid w:val="9BFF6483"/>
    <w:rsid w:val="9D9515C8"/>
    <w:rsid w:val="9DDFA575"/>
    <w:rsid w:val="9DEBD3EE"/>
    <w:rsid w:val="9EF257C2"/>
    <w:rsid w:val="9FCF92C0"/>
    <w:rsid w:val="9FFF0ABA"/>
    <w:rsid w:val="A3F7224D"/>
    <w:rsid w:val="A4DDCAA6"/>
    <w:rsid w:val="A7879AD3"/>
    <w:rsid w:val="A8D780F5"/>
    <w:rsid w:val="AEC55C60"/>
    <w:rsid w:val="AEFA1748"/>
    <w:rsid w:val="AF7F6C7B"/>
    <w:rsid w:val="AFBB0C2B"/>
    <w:rsid w:val="AFDFB035"/>
    <w:rsid w:val="B19F3AA7"/>
    <w:rsid w:val="B1FF95D2"/>
    <w:rsid w:val="B5D61637"/>
    <w:rsid w:val="B5F56F6A"/>
    <w:rsid w:val="B7F7EFF1"/>
    <w:rsid w:val="B97F4F10"/>
    <w:rsid w:val="B97FFB8D"/>
    <w:rsid w:val="B9B7007E"/>
    <w:rsid w:val="BA5FFB39"/>
    <w:rsid w:val="BB5B42EA"/>
    <w:rsid w:val="BB9FA626"/>
    <w:rsid w:val="BBA58968"/>
    <w:rsid w:val="BBE76F21"/>
    <w:rsid w:val="BBEE8EB3"/>
    <w:rsid w:val="BBFA7B5F"/>
    <w:rsid w:val="BBFB09E1"/>
    <w:rsid w:val="BC3B9655"/>
    <w:rsid w:val="BCD7CCDF"/>
    <w:rsid w:val="BCEE9ABE"/>
    <w:rsid w:val="BD01BF28"/>
    <w:rsid w:val="BD158B6C"/>
    <w:rsid w:val="BDAF7D6C"/>
    <w:rsid w:val="BDDF8D75"/>
    <w:rsid w:val="BDE87EAE"/>
    <w:rsid w:val="BDEECA29"/>
    <w:rsid w:val="BDFF3A6D"/>
    <w:rsid w:val="BE359862"/>
    <w:rsid w:val="BE77F387"/>
    <w:rsid w:val="BED76867"/>
    <w:rsid w:val="BEE73577"/>
    <w:rsid w:val="BF166974"/>
    <w:rsid w:val="BF737045"/>
    <w:rsid w:val="BFAF7690"/>
    <w:rsid w:val="BFB70A4D"/>
    <w:rsid w:val="BFBBB5C5"/>
    <w:rsid w:val="BFDC15A6"/>
    <w:rsid w:val="BFE243A7"/>
    <w:rsid w:val="BFE31E8A"/>
    <w:rsid w:val="BFFC6E12"/>
    <w:rsid w:val="BFFD9710"/>
    <w:rsid w:val="BFFE72C2"/>
    <w:rsid w:val="BFFF13DE"/>
    <w:rsid w:val="C63B55EB"/>
    <w:rsid w:val="C669C0DA"/>
    <w:rsid w:val="C98BC55A"/>
    <w:rsid w:val="CBA5C01D"/>
    <w:rsid w:val="CD5ACE72"/>
    <w:rsid w:val="CDFD15CB"/>
    <w:rsid w:val="CDFE0C32"/>
    <w:rsid w:val="CE59BAE0"/>
    <w:rsid w:val="CF9F634D"/>
    <w:rsid w:val="CFBFDF28"/>
    <w:rsid w:val="CFCFA2A9"/>
    <w:rsid w:val="CFFEE63D"/>
    <w:rsid w:val="CFFF0057"/>
    <w:rsid w:val="D2327396"/>
    <w:rsid w:val="D61FD826"/>
    <w:rsid w:val="D6FD520C"/>
    <w:rsid w:val="D73FC79F"/>
    <w:rsid w:val="D75FD31E"/>
    <w:rsid w:val="D7766B9A"/>
    <w:rsid w:val="D7DDA0D8"/>
    <w:rsid w:val="DB5BCB03"/>
    <w:rsid w:val="DBD70F38"/>
    <w:rsid w:val="DBE7793D"/>
    <w:rsid w:val="DCF5E4E7"/>
    <w:rsid w:val="DCFC805F"/>
    <w:rsid w:val="DD7E02D5"/>
    <w:rsid w:val="DD7FA36B"/>
    <w:rsid w:val="DDBB59C4"/>
    <w:rsid w:val="DDD344E1"/>
    <w:rsid w:val="DDEDEF24"/>
    <w:rsid w:val="DE8FE394"/>
    <w:rsid w:val="DEDDECAB"/>
    <w:rsid w:val="DEE77C91"/>
    <w:rsid w:val="DF362BEE"/>
    <w:rsid w:val="DF6EE00C"/>
    <w:rsid w:val="DFB30AD3"/>
    <w:rsid w:val="DFBE6F7D"/>
    <w:rsid w:val="DFDD8C17"/>
    <w:rsid w:val="DFF7CD70"/>
    <w:rsid w:val="DFFF2709"/>
    <w:rsid w:val="E17B79CF"/>
    <w:rsid w:val="E3DF5D2E"/>
    <w:rsid w:val="E3DFE731"/>
    <w:rsid w:val="E4D7330E"/>
    <w:rsid w:val="E5BFCB09"/>
    <w:rsid w:val="E5EA1D16"/>
    <w:rsid w:val="E7E81207"/>
    <w:rsid w:val="E7EEB69C"/>
    <w:rsid w:val="E7FBC4B0"/>
    <w:rsid w:val="E7FFC6E4"/>
    <w:rsid w:val="E87BD7A2"/>
    <w:rsid w:val="E87FC659"/>
    <w:rsid w:val="E9BFF08C"/>
    <w:rsid w:val="E9FFD166"/>
    <w:rsid w:val="EADB6488"/>
    <w:rsid w:val="EB7B03E8"/>
    <w:rsid w:val="EBDF8519"/>
    <w:rsid w:val="EBFFB042"/>
    <w:rsid w:val="EC9B38FD"/>
    <w:rsid w:val="ECF79BEC"/>
    <w:rsid w:val="ECFD9FEA"/>
    <w:rsid w:val="EDDB63CB"/>
    <w:rsid w:val="EDF82AC1"/>
    <w:rsid w:val="EDFD70D5"/>
    <w:rsid w:val="EDFFC6DB"/>
    <w:rsid w:val="EE1B85DD"/>
    <w:rsid w:val="EE5302B1"/>
    <w:rsid w:val="EEFB549F"/>
    <w:rsid w:val="EEFF2610"/>
    <w:rsid w:val="EF1C3918"/>
    <w:rsid w:val="EFB72A97"/>
    <w:rsid w:val="EFBDBD6F"/>
    <w:rsid w:val="EFBF9939"/>
    <w:rsid w:val="EFDE66E6"/>
    <w:rsid w:val="EFE6116E"/>
    <w:rsid w:val="EFF1A5CC"/>
    <w:rsid w:val="EFF74A37"/>
    <w:rsid w:val="EFFF453D"/>
    <w:rsid w:val="EFFF6AFA"/>
    <w:rsid w:val="EFFF6B2F"/>
    <w:rsid w:val="F09754AC"/>
    <w:rsid w:val="F296233D"/>
    <w:rsid w:val="F2EF49C1"/>
    <w:rsid w:val="F2FA412A"/>
    <w:rsid w:val="F3690280"/>
    <w:rsid w:val="F3BD6B2D"/>
    <w:rsid w:val="F3DBD52E"/>
    <w:rsid w:val="F3F7D63B"/>
    <w:rsid w:val="F4CF48D9"/>
    <w:rsid w:val="F55F2F7F"/>
    <w:rsid w:val="F5727EEE"/>
    <w:rsid w:val="F5B4DD38"/>
    <w:rsid w:val="F5FCC9A2"/>
    <w:rsid w:val="F5FF6110"/>
    <w:rsid w:val="F5FFCCB9"/>
    <w:rsid w:val="F63E827A"/>
    <w:rsid w:val="F65FF4F3"/>
    <w:rsid w:val="F67FBB7C"/>
    <w:rsid w:val="F6EF5FEA"/>
    <w:rsid w:val="F6F99C87"/>
    <w:rsid w:val="F6FD53EE"/>
    <w:rsid w:val="F6FFE33D"/>
    <w:rsid w:val="F75ACF6F"/>
    <w:rsid w:val="F77F240E"/>
    <w:rsid w:val="F7AF8045"/>
    <w:rsid w:val="F7AFD180"/>
    <w:rsid w:val="F7B5B832"/>
    <w:rsid w:val="F7D46878"/>
    <w:rsid w:val="F7DF441C"/>
    <w:rsid w:val="F7F77CAF"/>
    <w:rsid w:val="F7FACF7A"/>
    <w:rsid w:val="F7FB4E57"/>
    <w:rsid w:val="F7FCF045"/>
    <w:rsid w:val="F7FD2A86"/>
    <w:rsid w:val="F7FF04B3"/>
    <w:rsid w:val="F89B42CA"/>
    <w:rsid w:val="F8E76AA1"/>
    <w:rsid w:val="F9D62078"/>
    <w:rsid w:val="F9E9BE7D"/>
    <w:rsid w:val="F9EE54EE"/>
    <w:rsid w:val="F9FF47B9"/>
    <w:rsid w:val="FAFF3B81"/>
    <w:rsid w:val="FAFFBC5F"/>
    <w:rsid w:val="FAFFBF24"/>
    <w:rsid w:val="FB7FB4FC"/>
    <w:rsid w:val="FB7FB677"/>
    <w:rsid w:val="FBB722F9"/>
    <w:rsid w:val="FBBC9718"/>
    <w:rsid w:val="FBDF4A61"/>
    <w:rsid w:val="FBEF09AD"/>
    <w:rsid w:val="FBEFBD2E"/>
    <w:rsid w:val="FBEFECB8"/>
    <w:rsid w:val="FBFC7242"/>
    <w:rsid w:val="FBFEF7D1"/>
    <w:rsid w:val="FBFFE68C"/>
    <w:rsid w:val="FC7D557A"/>
    <w:rsid w:val="FC8F69AE"/>
    <w:rsid w:val="FCBFD817"/>
    <w:rsid w:val="FCE45478"/>
    <w:rsid w:val="FD6B6DE5"/>
    <w:rsid w:val="FD7D956B"/>
    <w:rsid w:val="FD7F06BB"/>
    <w:rsid w:val="FDAC8AAD"/>
    <w:rsid w:val="FDBD4FD8"/>
    <w:rsid w:val="FDBF9B9E"/>
    <w:rsid w:val="FDCB3973"/>
    <w:rsid w:val="FDD19CD7"/>
    <w:rsid w:val="FDEFD7BC"/>
    <w:rsid w:val="FDF7431D"/>
    <w:rsid w:val="FDFA97D2"/>
    <w:rsid w:val="FDFFDB35"/>
    <w:rsid w:val="FE3F5520"/>
    <w:rsid w:val="FE5F632C"/>
    <w:rsid w:val="FEAF51F3"/>
    <w:rsid w:val="FEDFA289"/>
    <w:rsid w:val="FEF55A37"/>
    <w:rsid w:val="FEFAD05C"/>
    <w:rsid w:val="FEFB5C3E"/>
    <w:rsid w:val="FEFDFB76"/>
    <w:rsid w:val="FEFFB189"/>
    <w:rsid w:val="FEFFD867"/>
    <w:rsid w:val="FF4BAA9D"/>
    <w:rsid w:val="FF5FABBC"/>
    <w:rsid w:val="FF7BE630"/>
    <w:rsid w:val="FF9FE08B"/>
    <w:rsid w:val="FFA7F34D"/>
    <w:rsid w:val="FFAF08F5"/>
    <w:rsid w:val="FFBE5BFC"/>
    <w:rsid w:val="FFBF1E7C"/>
    <w:rsid w:val="FFCB5016"/>
    <w:rsid w:val="FFD7FFF3"/>
    <w:rsid w:val="FFD82275"/>
    <w:rsid w:val="FFDFE8B5"/>
    <w:rsid w:val="FFEE7F24"/>
    <w:rsid w:val="FFEF2045"/>
    <w:rsid w:val="FFF3FC7B"/>
    <w:rsid w:val="FFF57057"/>
    <w:rsid w:val="FFF59DEA"/>
    <w:rsid w:val="FFF7B4DF"/>
    <w:rsid w:val="FFFB7D1B"/>
    <w:rsid w:val="FFFBBFE9"/>
    <w:rsid w:val="FFFBC3DD"/>
    <w:rsid w:val="FFFC0525"/>
    <w:rsid w:val="FFFD6CA6"/>
    <w:rsid w:val="FFFEA020"/>
    <w:rsid w:val="FFFF3D5B"/>
    <w:rsid w:val="FFFF912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en-US" w:eastAsia="zh-CN" w:bidi="ar-SA"/>
    </w:rPr>
  </w:style>
  <w:style w:type="paragraph" w:styleId="2">
    <w:name w:val="heading 1"/>
    <w:basedOn w:val="1"/>
    <w:next w:val="1"/>
    <w:link w:val="45"/>
    <w:qFormat/>
    <w:uiPriority w:val="9"/>
    <w:pPr>
      <w:keepNext/>
      <w:spacing w:before="240" w:after="60"/>
      <w:outlineLvl w:val="0"/>
    </w:pPr>
    <w:rPr>
      <w:rFonts w:cs="Times New Roman" w:asciiTheme="majorHAnsi" w:hAnsiTheme="majorHAnsi" w:eastAsiaTheme="majorEastAsia"/>
      <w:b/>
      <w:bCs/>
      <w:kern w:val="32"/>
      <w:sz w:val="32"/>
      <w:szCs w:val="32"/>
    </w:rPr>
  </w:style>
  <w:style w:type="paragraph" w:styleId="3">
    <w:name w:val="heading 2"/>
    <w:basedOn w:val="1"/>
    <w:next w:val="1"/>
    <w:link w:val="46"/>
    <w:unhideWhenUsed/>
    <w:qFormat/>
    <w:uiPriority w:val="9"/>
    <w:pPr>
      <w:keepNext/>
      <w:spacing w:before="240" w:after="60"/>
      <w:outlineLvl w:val="1"/>
    </w:pPr>
    <w:rPr>
      <w:rFonts w:cs="Times New Roman" w:asciiTheme="majorHAnsi" w:hAnsiTheme="majorHAnsi" w:eastAsiaTheme="majorEastAsia"/>
      <w:b/>
      <w:bCs/>
      <w:i/>
      <w:iCs/>
      <w:sz w:val="28"/>
      <w:szCs w:val="28"/>
    </w:rPr>
  </w:style>
  <w:style w:type="paragraph" w:styleId="4">
    <w:name w:val="heading 3"/>
    <w:basedOn w:val="1"/>
    <w:next w:val="1"/>
    <w:link w:val="47"/>
    <w:unhideWhenUsed/>
    <w:qFormat/>
    <w:uiPriority w:val="9"/>
    <w:pPr>
      <w:keepNext/>
      <w:spacing w:before="240" w:after="60"/>
      <w:outlineLvl w:val="2"/>
    </w:pPr>
    <w:rPr>
      <w:rFonts w:cs="Times New Roman" w:asciiTheme="majorHAnsi" w:hAnsiTheme="majorHAnsi" w:eastAsiaTheme="majorEastAsia"/>
      <w:b/>
      <w:bCs/>
      <w:sz w:val="26"/>
      <w:szCs w:val="26"/>
    </w:rPr>
  </w:style>
  <w:style w:type="paragraph" w:styleId="5">
    <w:name w:val="heading 4"/>
    <w:basedOn w:val="1"/>
    <w:next w:val="1"/>
    <w:link w:val="48"/>
    <w:unhideWhenUsed/>
    <w:qFormat/>
    <w:uiPriority w:val="9"/>
    <w:pPr>
      <w:keepNext/>
      <w:spacing w:before="240" w:after="60"/>
      <w:outlineLvl w:val="3"/>
    </w:pPr>
    <w:rPr>
      <w:rFonts w:cs="Times New Roman"/>
      <w:b/>
      <w:bCs/>
      <w:sz w:val="28"/>
      <w:szCs w:val="28"/>
    </w:rPr>
  </w:style>
  <w:style w:type="paragraph" w:styleId="6">
    <w:name w:val="heading 5"/>
    <w:basedOn w:val="1"/>
    <w:next w:val="1"/>
    <w:link w:val="49"/>
    <w:unhideWhenUsed/>
    <w:qFormat/>
    <w:uiPriority w:val="9"/>
    <w:pPr>
      <w:spacing w:before="240" w:after="60"/>
      <w:outlineLvl w:val="4"/>
    </w:pPr>
    <w:rPr>
      <w:rFonts w:cs="Times New Roman"/>
      <w:b/>
      <w:bCs/>
      <w:i/>
      <w:iCs/>
      <w:sz w:val="26"/>
      <w:szCs w:val="26"/>
    </w:rPr>
  </w:style>
  <w:style w:type="paragraph" w:styleId="7">
    <w:name w:val="heading 6"/>
    <w:basedOn w:val="1"/>
    <w:next w:val="1"/>
    <w:link w:val="50"/>
    <w:unhideWhenUsed/>
    <w:qFormat/>
    <w:uiPriority w:val="9"/>
    <w:pPr>
      <w:spacing w:before="240" w:after="60"/>
      <w:outlineLvl w:val="5"/>
    </w:pPr>
    <w:rPr>
      <w:rFonts w:cs="Times New Roman"/>
      <w:b/>
      <w:bCs/>
      <w:sz w:val="22"/>
      <w:szCs w:val="22"/>
    </w:rPr>
  </w:style>
  <w:style w:type="paragraph" w:styleId="8">
    <w:name w:val="heading 7"/>
    <w:basedOn w:val="1"/>
    <w:next w:val="1"/>
    <w:link w:val="51"/>
    <w:unhideWhenUsed/>
    <w:qFormat/>
    <w:uiPriority w:val="9"/>
    <w:pPr>
      <w:spacing w:before="240" w:after="60"/>
      <w:outlineLvl w:val="6"/>
    </w:pPr>
    <w:rPr>
      <w:rFonts w:cs="Times New Roman"/>
    </w:rPr>
  </w:style>
  <w:style w:type="paragraph" w:styleId="9">
    <w:name w:val="heading 8"/>
    <w:basedOn w:val="1"/>
    <w:next w:val="1"/>
    <w:link w:val="52"/>
    <w:unhideWhenUsed/>
    <w:qFormat/>
    <w:uiPriority w:val="9"/>
    <w:pPr>
      <w:spacing w:before="240" w:after="60"/>
      <w:outlineLvl w:val="7"/>
    </w:pPr>
    <w:rPr>
      <w:rFonts w:cs="Times New Roman"/>
      <w:i/>
      <w:iCs/>
    </w:rPr>
  </w:style>
  <w:style w:type="paragraph" w:styleId="10">
    <w:name w:val="heading 9"/>
    <w:basedOn w:val="1"/>
    <w:next w:val="1"/>
    <w:link w:val="53"/>
    <w:unhideWhenUsed/>
    <w:qFormat/>
    <w:uiPriority w:val="9"/>
    <w:pPr>
      <w:spacing w:before="240" w:after="60"/>
      <w:outlineLvl w:val="8"/>
    </w:pPr>
    <w:rPr>
      <w:rFonts w:cs="Times New Roman" w:asciiTheme="majorHAnsi" w:hAnsiTheme="majorHAnsi" w:eastAsiaTheme="majorEastAsia"/>
      <w:sz w:val="22"/>
      <w:szCs w:val="22"/>
    </w:r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next w:val="1"/>
    <w:qFormat/>
    <w:uiPriority w:val="0"/>
    <w:pPr>
      <w:ind w:firstLine="964" w:firstLineChars="200"/>
    </w:pPr>
  </w:style>
  <w:style w:type="paragraph" w:styleId="12">
    <w:name w:val="annotation text"/>
    <w:basedOn w:val="1"/>
    <w:qFormat/>
    <w:uiPriority w:val="0"/>
  </w:style>
  <w:style w:type="paragraph" w:styleId="13">
    <w:name w:val="Body Text"/>
    <w:basedOn w:val="1"/>
    <w:link w:val="44"/>
    <w:qFormat/>
    <w:uiPriority w:val="0"/>
    <w:pPr>
      <w:spacing w:after="120"/>
    </w:pPr>
    <w:rPr>
      <w:rFonts w:ascii="Times New Roman" w:hAnsi="Times New Roman" w:eastAsia="宋体" w:cs="Times New Roman"/>
    </w:rPr>
  </w:style>
  <w:style w:type="paragraph" w:styleId="14">
    <w:name w:val="Body Text Indent"/>
    <w:basedOn w:val="1"/>
    <w:next w:val="15"/>
    <w:qFormat/>
    <w:uiPriority w:val="0"/>
    <w:pPr>
      <w:spacing w:after="120"/>
      <w:ind w:left="420" w:leftChars="200"/>
    </w:pPr>
  </w:style>
  <w:style w:type="paragraph" w:styleId="15">
    <w:name w:val="Body Text First Indent 2"/>
    <w:basedOn w:val="14"/>
    <w:next w:val="1"/>
    <w:qFormat/>
    <w:uiPriority w:val="0"/>
    <w:pPr>
      <w:ind w:firstLine="420"/>
    </w:pPr>
  </w:style>
  <w:style w:type="paragraph" w:styleId="16">
    <w:name w:val="Body Text Indent 2"/>
    <w:basedOn w:val="1"/>
    <w:link w:val="37"/>
    <w:qFormat/>
    <w:uiPriority w:val="0"/>
    <w:pPr>
      <w:ind w:firstLine="750"/>
    </w:pPr>
    <w:rPr>
      <w:rFonts w:ascii="宋体" w:hAnsi="宋体" w:eastAsia="宋体" w:cs="Times New Roman"/>
      <w:sz w:val="32"/>
      <w:szCs w:val="20"/>
    </w:rPr>
  </w:style>
  <w:style w:type="paragraph" w:styleId="17">
    <w:name w:val="Balloon Text"/>
    <w:basedOn w:val="1"/>
    <w:link w:val="67"/>
    <w:qFormat/>
    <w:uiPriority w:val="0"/>
    <w:rPr>
      <w:sz w:val="18"/>
      <w:szCs w:val="18"/>
    </w:rPr>
  </w:style>
  <w:style w:type="paragraph" w:styleId="18">
    <w:name w:val="footer"/>
    <w:basedOn w:val="1"/>
    <w:link w:val="35"/>
    <w:qFormat/>
    <w:uiPriority w:val="99"/>
    <w:pPr>
      <w:tabs>
        <w:tab w:val="center" w:pos="4153"/>
        <w:tab w:val="right" w:pos="8306"/>
      </w:tabs>
      <w:snapToGrid w:val="0"/>
    </w:pPr>
    <w:rPr>
      <w:sz w:val="18"/>
      <w:szCs w:val="18"/>
    </w:rPr>
  </w:style>
  <w:style w:type="paragraph" w:styleId="19">
    <w:name w:val="header"/>
    <w:basedOn w:val="1"/>
    <w:link w:val="34"/>
    <w:qFormat/>
    <w:uiPriority w:val="0"/>
    <w:pPr>
      <w:pBdr>
        <w:bottom w:val="single" w:color="auto" w:sz="6" w:space="1"/>
      </w:pBdr>
      <w:tabs>
        <w:tab w:val="center" w:pos="4153"/>
        <w:tab w:val="right" w:pos="8306"/>
      </w:tabs>
      <w:snapToGrid w:val="0"/>
      <w:jc w:val="center"/>
    </w:pPr>
    <w:rPr>
      <w:sz w:val="18"/>
      <w:szCs w:val="18"/>
    </w:rPr>
  </w:style>
  <w:style w:type="paragraph" w:styleId="20">
    <w:name w:val="Subtitle"/>
    <w:basedOn w:val="1"/>
    <w:next w:val="1"/>
    <w:link w:val="55"/>
    <w:qFormat/>
    <w:uiPriority w:val="11"/>
    <w:pPr>
      <w:spacing w:after="60"/>
      <w:jc w:val="center"/>
      <w:outlineLvl w:val="1"/>
    </w:pPr>
    <w:rPr>
      <w:rFonts w:cs="Times New Roman" w:asciiTheme="majorHAnsi" w:hAnsiTheme="majorHAnsi" w:eastAsiaTheme="majorEastAsia"/>
    </w:rPr>
  </w:style>
  <w:style w:type="paragraph" w:styleId="21">
    <w:name w:val="toc 2"/>
    <w:basedOn w:val="1"/>
    <w:next w:val="1"/>
    <w:qFormat/>
    <w:uiPriority w:val="0"/>
    <w:pPr>
      <w:ind w:left="210"/>
      <w:jc w:val="left"/>
    </w:pPr>
    <w:rPr>
      <w:rFonts w:ascii="Times New Roman" w:eastAsia="宋体" w:cs="Times New Roman"/>
      <w:smallCaps/>
      <w:sz w:val="20"/>
      <w:szCs w:val="20"/>
    </w:rPr>
  </w:style>
  <w:style w:type="paragraph" w:styleId="2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3">
    <w:name w:val="Normal (Web)"/>
    <w:basedOn w:val="1"/>
    <w:qFormat/>
    <w:uiPriority w:val="0"/>
    <w:rPr>
      <w:rFonts w:ascii="Calibri" w:hAnsi="Calibri" w:eastAsia="宋体" w:cs="Times New Roman"/>
      <w:color w:val="FF9900"/>
    </w:rPr>
  </w:style>
  <w:style w:type="paragraph" w:styleId="24">
    <w:name w:val="Title"/>
    <w:basedOn w:val="1"/>
    <w:next w:val="1"/>
    <w:link w:val="54"/>
    <w:qFormat/>
    <w:uiPriority w:val="10"/>
    <w:pPr>
      <w:spacing w:before="240" w:after="60"/>
      <w:jc w:val="center"/>
      <w:outlineLvl w:val="0"/>
    </w:pPr>
    <w:rPr>
      <w:rFonts w:cs="Times New Roman" w:asciiTheme="majorHAnsi" w:hAnsiTheme="majorHAnsi" w:eastAsiaTheme="majorEastAsia"/>
      <w:b/>
      <w:bCs/>
      <w:kern w:val="28"/>
      <w:sz w:val="32"/>
      <w:szCs w:val="32"/>
    </w:rPr>
  </w:style>
  <w:style w:type="paragraph" w:styleId="25">
    <w:name w:val="Body Text First Indent"/>
    <w:qFormat/>
    <w:uiPriority w:val="0"/>
    <w:pPr>
      <w:keepNext w:val="0"/>
      <w:keepLines w:val="0"/>
      <w:widowControl w:val="0"/>
      <w:suppressLineNumbers w:val="0"/>
      <w:spacing w:before="0" w:beforeAutospacing="0" w:after="0" w:afterAutospacing="0"/>
      <w:ind w:left="0" w:right="0" w:firstLine="482" w:firstLineChars="200"/>
      <w:jc w:val="both"/>
    </w:pPr>
    <w:rPr>
      <w:rFonts w:hint="default" w:ascii="Times New Roman" w:hAnsi="Times New Roman" w:eastAsia="仿宋_GB2312" w:cs="Times New Roman"/>
      <w:kern w:val="2"/>
      <w:sz w:val="32"/>
      <w:szCs w:val="32"/>
      <w:lang w:val="en-US" w:eastAsia="zh-CN" w:bidi="ar"/>
    </w:rPr>
  </w:style>
  <w:style w:type="character" w:styleId="28">
    <w:name w:val="Strong"/>
    <w:basedOn w:val="27"/>
    <w:qFormat/>
    <w:uiPriority w:val="22"/>
    <w:rPr>
      <w:b/>
      <w:bCs/>
    </w:rPr>
  </w:style>
  <w:style w:type="character" w:styleId="29">
    <w:name w:val="Emphasis"/>
    <w:basedOn w:val="27"/>
    <w:qFormat/>
    <w:uiPriority w:val="20"/>
    <w:rPr>
      <w:rFonts w:asciiTheme="minorHAnsi" w:hAnsiTheme="minorHAnsi"/>
      <w:b/>
      <w:i/>
      <w:iCs/>
    </w:rPr>
  </w:style>
  <w:style w:type="character" w:styleId="30">
    <w:name w:val="annotation reference"/>
    <w:basedOn w:val="27"/>
    <w:qFormat/>
    <w:uiPriority w:val="0"/>
    <w:rPr>
      <w:sz w:val="21"/>
      <w:szCs w:val="21"/>
    </w:rPr>
  </w:style>
  <w:style w:type="paragraph" w:customStyle="1" w:styleId="31">
    <w:name w:val="报告正文"/>
    <w:basedOn w:val="1"/>
    <w:qFormat/>
    <w:uiPriority w:val="0"/>
    <w:pPr>
      <w:ind w:firstLine="200"/>
    </w:pPr>
    <w:rPr>
      <w:rFonts w:ascii="Times New Roman" w:hAnsi="Times New Roman" w:eastAsia="宋体" w:cs="Times New Roman"/>
    </w:rPr>
  </w:style>
  <w:style w:type="paragraph" w:customStyle="1" w:styleId="32">
    <w:name w:val="BodyText1I2"/>
    <w:basedOn w:val="33"/>
    <w:qFormat/>
    <w:uiPriority w:val="0"/>
    <w:pPr>
      <w:ind w:firstLine="420" w:firstLineChars="200"/>
    </w:pPr>
    <w:rPr>
      <w:rFonts w:ascii="Calibri" w:hAnsi="Calibri" w:eastAsia="宋体" w:cs="Times New Roman"/>
    </w:rPr>
  </w:style>
  <w:style w:type="paragraph" w:customStyle="1" w:styleId="33">
    <w:name w:val="BodyTextIndent"/>
    <w:basedOn w:val="1"/>
    <w:qFormat/>
    <w:uiPriority w:val="0"/>
    <w:pPr>
      <w:spacing w:after="120"/>
      <w:ind w:left="420" w:leftChars="200"/>
      <w:jc w:val="both"/>
      <w:textAlignment w:val="baseline"/>
    </w:pPr>
  </w:style>
  <w:style w:type="character" w:customStyle="1" w:styleId="34">
    <w:name w:val="页眉 Char"/>
    <w:basedOn w:val="27"/>
    <w:link w:val="19"/>
    <w:qFormat/>
    <w:uiPriority w:val="0"/>
    <w:rPr>
      <w:rFonts w:asciiTheme="minorHAnsi" w:hAnsiTheme="minorHAnsi" w:eastAsiaTheme="minorEastAsia" w:cstheme="minorBidi"/>
      <w:kern w:val="2"/>
      <w:sz w:val="18"/>
      <w:szCs w:val="18"/>
    </w:rPr>
  </w:style>
  <w:style w:type="character" w:customStyle="1" w:styleId="35">
    <w:name w:val="页脚 Char"/>
    <w:basedOn w:val="27"/>
    <w:link w:val="18"/>
    <w:qFormat/>
    <w:uiPriority w:val="99"/>
    <w:rPr>
      <w:rFonts w:asciiTheme="minorHAnsi" w:hAnsiTheme="minorHAnsi" w:eastAsiaTheme="minorEastAsia" w:cstheme="minorBidi"/>
      <w:kern w:val="2"/>
      <w:sz w:val="18"/>
      <w:szCs w:val="18"/>
    </w:rPr>
  </w:style>
  <w:style w:type="paragraph" w:customStyle="1" w:styleId="36">
    <w:name w:val="列出段落1"/>
    <w:basedOn w:val="1"/>
    <w:qFormat/>
    <w:uiPriority w:val="34"/>
    <w:pPr>
      <w:ind w:left="720"/>
      <w:contextualSpacing/>
    </w:pPr>
  </w:style>
  <w:style w:type="character" w:customStyle="1" w:styleId="37">
    <w:name w:val="正文文本缩进 2 Char"/>
    <w:basedOn w:val="27"/>
    <w:link w:val="16"/>
    <w:qFormat/>
    <w:uiPriority w:val="0"/>
    <w:rPr>
      <w:rFonts w:ascii="宋体" w:hAnsi="宋体"/>
      <w:kern w:val="2"/>
      <w:sz w:val="32"/>
    </w:rPr>
  </w:style>
  <w:style w:type="character" w:customStyle="1" w:styleId="38">
    <w:name w:val="NormalCharacter"/>
    <w:link w:val="39"/>
    <w:qFormat/>
    <w:uiPriority w:val="0"/>
    <w:rPr>
      <w:rFonts w:ascii="Calibri" w:hAnsi="Calibri" w:eastAsia="宋体" w:cs="Times New Roman"/>
    </w:rPr>
  </w:style>
  <w:style w:type="paragraph" w:customStyle="1" w:styleId="39">
    <w:name w:val="UserStyle_3"/>
    <w:basedOn w:val="1"/>
    <w:link w:val="38"/>
    <w:qFormat/>
    <w:uiPriority w:val="0"/>
    <w:pPr>
      <w:jc w:val="both"/>
      <w:textAlignment w:val="baseline"/>
    </w:pPr>
    <w:rPr>
      <w:rFonts w:ascii="仿宋_GB2312" w:eastAsia="仿宋_GB2312"/>
      <w:kern w:val="2"/>
      <w:sz w:val="32"/>
      <w:szCs w:val="32"/>
      <w:lang w:val="en-US" w:eastAsia="zh-CN" w:bidi="ar-SA"/>
    </w:rPr>
  </w:style>
  <w:style w:type="paragraph" w:customStyle="1" w:styleId="40">
    <w:name w:val="UserStyle_0"/>
    <w:basedOn w:val="1"/>
    <w:next w:val="1"/>
    <w:link w:val="38"/>
    <w:qFormat/>
    <w:uiPriority w:val="0"/>
    <w:pPr>
      <w:spacing w:beforeAutospacing="0" w:afterAutospacing="0" w:line="480" w:lineRule="exact"/>
      <w:ind w:firstLine="588"/>
    </w:pPr>
    <w:rPr>
      <w:rFonts w:ascii="Arial" w:hAnsi="Arial" w:eastAsia="等线"/>
      <w:sz w:val="28"/>
      <w:szCs w:val="28"/>
    </w:rPr>
  </w:style>
  <w:style w:type="paragraph" w:customStyle="1" w:styleId="41">
    <w:name w:val="UserStyle_18"/>
    <w:basedOn w:val="1"/>
    <w:link w:val="38"/>
    <w:qFormat/>
    <w:uiPriority w:val="0"/>
    <w:pPr>
      <w:widowControl/>
      <w:spacing w:line="360" w:lineRule="atLeast"/>
      <w:textAlignment w:val="baseline"/>
    </w:pPr>
    <w:rPr>
      <w:rFonts w:ascii="Calibri" w:hAnsi="Calibri" w:eastAsia="宋体" w:cs="Times New Roman"/>
    </w:rPr>
  </w:style>
  <w:style w:type="paragraph" w:customStyle="1" w:styleId="42">
    <w:name w:val="Char Char Char Char"/>
    <w:basedOn w:val="1"/>
    <w:qFormat/>
    <w:uiPriority w:val="0"/>
    <w:rPr>
      <w:rFonts w:ascii="Times New Roman" w:hAnsi="Times New Roman" w:eastAsia="宋体" w:cs="Times New Roman"/>
    </w:rPr>
  </w:style>
  <w:style w:type="paragraph" w:customStyle="1" w:styleId="43">
    <w:name w:val="列出段落2"/>
    <w:basedOn w:val="1"/>
    <w:unhideWhenUsed/>
    <w:qFormat/>
    <w:uiPriority w:val="99"/>
    <w:pPr>
      <w:ind w:firstLine="420" w:firstLineChars="200"/>
    </w:pPr>
    <w:rPr>
      <w:rFonts w:ascii="Calibri" w:hAnsi="Calibri" w:eastAsia="宋体" w:cs="Times New Roman"/>
    </w:rPr>
  </w:style>
  <w:style w:type="character" w:customStyle="1" w:styleId="44">
    <w:name w:val="正文文本 Char"/>
    <w:basedOn w:val="27"/>
    <w:link w:val="13"/>
    <w:qFormat/>
    <w:uiPriority w:val="0"/>
    <w:rPr>
      <w:rFonts w:ascii="Times New Roman" w:hAnsi="Times New Roman"/>
      <w:kern w:val="2"/>
      <w:sz w:val="21"/>
      <w:szCs w:val="24"/>
    </w:rPr>
  </w:style>
  <w:style w:type="character" w:customStyle="1" w:styleId="45">
    <w:name w:val="标题 1 Char"/>
    <w:basedOn w:val="27"/>
    <w:link w:val="2"/>
    <w:qFormat/>
    <w:uiPriority w:val="9"/>
    <w:rPr>
      <w:rFonts w:asciiTheme="majorHAnsi" w:hAnsiTheme="majorHAnsi" w:eastAsiaTheme="majorEastAsia"/>
      <w:b/>
      <w:bCs/>
      <w:kern w:val="32"/>
      <w:sz w:val="32"/>
      <w:szCs w:val="32"/>
    </w:rPr>
  </w:style>
  <w:style w:type="character" w:customStyle="1" w:styleId="46">
    <w:name w:val="标题 2 Char"/>
    <w:basedOn w:val="27"/>
    <w:link w:val="3"/>
    <w:semiHidden/>
    <w:qFormat/>
    <w:uiPriority w:val="9"/>
    <w:rPr>
      <w:rFonts w:asciiTheme="majorHAnsi" w:hAnsiTheme="majorHAnsi" w:eastAsiaTheme="majorEastAsia"/>
      <w:b/>
      <w:bCs/>
      <w:i/>
      <w:iCs/>
      <w:sz w:val="28"/>
      <w:szCs w:val="28"/>
    </w:rPr>
  </w:style>
  <w:style w:type="character" w:customStyle="1" w:styleId="47">
    <w:name w:val="标题 3 Char"/>
    <w:basedOn w:val="27"/>
    <w:link w:val="4"/>
    <w:semiHidden/>
    <w:qFormat/>
    <w:uiPriority w:val="9"/>
    <w:rPr>
      <w:rFonts w:asciiTheme="majorHAnsi" w:hAnsiTheme="majorHAnsi" w:eastAsiaTheme="majorEastAsia"/>
      <w:b/>
      <w:bCs/>
      <w:sz w:val="26"/>
      <w:szCs w:val="26"/>
    </w:rPr>
  </w:style>
  <w:style w:type="character" w:customStyle="1" w:styleId="48">
    <w:name w:val="标题 4 Char"/>
    <w:basedOn w:val="27"/>
    <w:link w:val="5"/>
    <w:semiHidden/>
    <w:qFormat/>
    <w:uiPriority w:val="9"/>
    <w:rPr>
      <w:b/>
      <w:bCs/>
      <w:sz w:val="28"/>
      <w:szCs w:val="28"/>
    </w:rPr>
  </w:style>
  <w:style w:type="character" w:customStyle="1" w:styleId="49">
    <w:name w:val="标题 5 Char"/>
    <w:basedOn w:val="27"/>
    <w:link w:val="6"/>
    <w:semiHidden/>
    <w:qFormat/>
    <w:uiPriority w:val="9"/>
    <w:rPr>
      <w:b/>
      <w:bCs/>
      <w:i/>
      <w:iCs/>
      <w:sz w:val="26"/>
      <w:szCs w:val="26"/>
    </w:rPr>
  </w:style>
  <w:style w:type="character" w:customStyle="1" w:styleId="50">
    <w:name w:val="标题 6 Char"/>
    <w:basedOn w:val="27"/>
    <w:link w:val="7"/>
    <w:semiHidden/>
    <w:qFormat/>
    <w:uiPriority w:val="9"/>
    <w:rPr>
      <w:b/>
      <w:bCs/>
    </w:rPr>
  </w:style>
  <w:style w:type="character" w:customStyle="1" w:styleId="51">
    <w:name w:val="标题 7 Char"/>
    <w:basedOn w:val="27"/>
    <w:link w:val="8"/>
    <w:semiHidden/>
    <w:qFormat/>
    <w:uiPriority w:val="9"/>
    <w:rPr>
      <w:sz w:val="24"/>
      <w:szCs w:val="24"/>
    </w:rPr>
  </w:style>
  <w:style w:type="character" w:customStyle="1" w:styleId="52">
    <w:name w:val="标题 8 Char"/>
    <w:basedOn w:val="27"/>
    <w:link w:val="9"/>
    <w:semiHidden/>
    <w:qFormat/>
    <w:uiPriority w:val="9"/>
    <w:rPr>
      <w:i/>
      <w:iCs/>
      <w:sz w:val="24"/>
      <w:szCs w:val="24"/>
    </w:rPr>
  </w:style>
  <w:style w:type="character" w:customStyle="1" w:styleId="53">
    <w:name w:val="标题 9 Char"/>
    <w:basedOn w:val="27"/>
    <w:link w:val="10"/>
    <w:semiHidden/>
    <w:qFormat/>
    <w:uiPriority w:val="9"/>
    <w:rPr>
      <w:rFonts w:asciiTheme="majorHAnsi" w:hAnsiTheme="majorHAnsi" w:eastAsiaTheme="majorEastAsia"/>
    </w:rPr>
  </w:style>
  <w:style w:type="character" w:customStyle="1" w:styleId="54">
    <w:name w:val="标题 Char"/>
    <w:basedOn w:val="27"/>
    <w:link w:val="24"/>
    <w:qFormat/>
    <w:uiPriority w:val="10"/>
    <w:rPr>
      <w:rFonts w:asciiTheme="majorHAnsi" w:hAnsiTheme="majorHAnsi" w:eastAsiaTheme="majorEastAsia"/>
      <w:b/>
      <w:bCs/>
      <w:kern w:val="28"/>
      <w:sz w:val="32"/>
      <w:szCs w:val="32"/>
    </w:rPr>
  </w:style>
  <w:style w:type="character" w:customStyle="1" w:styleId="55">
    <w:name w:val="副标题 Char"/>
    <w:basedOn w:val="27"/>
    <w:link w:val="20"/>
    <w:qFormat/>
    <w:uiPriority w:val="11"/>
    <w:rPr>
      <w:rFonts w:asciiTheme="majorHAnsi" w:hAnsiTheme="majorHAnsi" w:eastAsiaTheme="majorEastAsia"/>
      <w:sz w:val="24"/>
      <w:szCs w:val="24"/>
    </w:rPr>
  </w:style>
  <w:style w:type="paragraph" w:customStyle="1" w:styleId="56">
    <w:name w:val="无间隔1"/>
    <w:basedOn w:val="1"/>
    <w:qFormat/>
    <w:uiPriority w:val="1"/>
    <w:rPr>
      <w:rFonts w:cs="Times New Roman"/>
      <w:szCs w:val="32"/>
    </w:rPr>
  </w:style>
  <w:style w:type="paragraph" w:customStyle="1" w:styleId="57">
    <w:name w:val="引用1"/>
    <w:basedOn w:val="1"/>
    <w:next w:val="1"/>
    <w:link w:val="58"/>
    <w:qFormat/>
    <w:uiPriority w:val="29"/>
    <w:rPr>
      <w:rFonts w:cs="Times New Roman"/>
      <w:i/>
    </w:rPr>
  </w:style>
  <w:style w:type="character" w:customStyle="1" w:styleId="58">
    <w:name w:val="引用 Char"/>
    <w:basedOn w:val="27"/>
    <w:link w:val="57"/>
    <w:qFormat/>
    <w:uiPriority w:val="29"/>
    <w:rPr>
      <w:i/>
      <w:sz w:val="24"/>
      <w:szCs w:val="24"/>
    </w:rPr>
  </w:style>
  <w:style w:type="paragraph" w:customStyle="1" w:styleId="59">
    <w:name w:val="明显引用1"/>
    <w:basedOn w:val="1"/>
    <w:next w:val="1"/>
    <w:link w:val="60"/>
    <w:qFormat/>
    <w:uiPriority w:val="30"/>
    <w:pPr>
      <w:ind w:left="720" w:right="720"/>
    </w:pPr>
    <w:rPr>
      <w:rFonts w:cs="Times New Roman"/>
      <w:b/>
      <w:i/>
      <w:szCs w:val="22"/>
    </w:rPr>
  </w:style>
  <w:style w:type="character" w:customStyle="1" w:styleId="60">
    <w:name w:val="明显引用 Char"/>
    <w:basedOn w:val="27"/>
    <w:link w:val="59"/>
    <w:qFormat/>
    <w:uiPriority w:val="30"/>
    <w:rPr>
      <w:b/>
      <w:i/>
      <w:sz w:val="24"/>
    </w:rPr>
  </w:style>
  <w:style w:type="character" w:customStyle="1" w:styleId="6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62">
    <w:name w:val="明显强调1"/>
    <w:basedOn w:val="27"/>
    <w:qFormat/>
    <w:uiPriority w:val="21"/>
    <w:rPr>
      <w:b/>
      <w:i/>
      <w:sz w:val="24"/>
      <w:szCs w:val="24"/>
      <w:u w:val="single"/>
    </w:rPr>
  </w:style>
  <w:style w:type="character" w:customStyle="1" w:styleId="63">
    <w:name w:val="不明显参考1"/>
    <w:basedOn w:val="27"/>
    <w:qFormat/>
    <w:uiPriority w:val="31"/>
    <w:rPr>
      <w:sz w:val="24"/>
      <w:szCs w:val="24"/>
      <w:u w:val="single"/>
    </w:rPr>
  </w:style>
  <w:style w:type="character" w:customStyle="1" w:styleId="64">
    <w:name w:val="明显参考1"/>
    <w:basedOn w:val="27"/>
    <w:qFormat/>
    <w:uiPriority w:val="32"/>
    <w:rPr>
      <w:b/>
      <w:sz w:val="24"/>
      <w:u w:val="single"/>
    </w:rPr>
  </w:style>
  <w:style w:type="character" w:customStyle="1" w:styleId="65">
    <w:name w:val="书籍标题1"/>
    <w:basedOn w:val="27"/>
    <w:qFormat/>
    <w:uiPriority w:val="33"/>
    <w:rPr>
      <w:rFonts w:asciiTheme="majorHAnsi" w:hAnsiTheme="majorHAnsi" w:eastAsiaTheme="majorEastAsia"/>
      <w:b/>
      <w:i/>
      <w:sz w:val="24"/>
      <w:szCs w:val="24"/>
    </w:rPr>
  </w:style>
  <w:style w:type="paragraph" w:customStyle="1" w:styleId="66">
    <w:name w:val="TOC 标题1"/>
    <w:basedOn w:val="2"/>
    <w:next w:val="1"/>
    <w:unhideWhenUsed/>
    <w:qFormat/>
    <w:uiPriority w:val="39"/>
    <w:pPr>
      <w:outlineLvl w:val="9"/>
    </w:pPr>
  </w:style>
  <w:style w:type="character" w:customStyle="1" w:styleId="67">
    <w:name w:val="批注框文本 Char"/>
    <w:basedOn w:val="27"/>
    <w:link w:val="17"/>
    <w:qFormat/>
    <w:uiPriority w:val="0"/>
    <w:rPr>
      <w:rFonts w:cstheme="minorBidi"/>
      <w:sz w:val="18"/>
      <w:szCs w:val="18"/>
    </w:rPr>
  </w:style>
  <w:style w:type="character" w:customStyle="1" w:styleId="68">
    <w:name w:val="15"/>
    <w:basedOn w:val="27"/>
    <w:qFormat/>
    <w:uiPriority w:val="0"/>
    <w:rPr>
      <w:rFonts w:hint="default" w:ascii="Times New Roman" w:hAnsi="Times New Roman" w:eastAsia="宋体" w:cs="Times New Roman"/>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秀英区</Company>
  <Pages>1</Pages>
  <Words>11574</Words>
  <Characters>13407</Characters>
  <Lines>1</Lines>
  <Paragraphs>1</Paragraphs>
  <TotalTime>13</TotalTime>
  <ScaleCrop>false</ScaleCrop>
  <LinksUpToDate>false</LinksUpToDate>
  <CharactersWithSpaces>13612</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2022-02-03T22:59:00Z</dcterms:created>
  <dc:creator>HKTJJ</dc:creator>
  <cp:lastModifiedBy>huawei</cp:lastModifiedBy>
  <cp:lastPrinted>2024-02-24T02:33:00Z</cp:lastPrinted>
  <dcterms:modified xsi:type="dcterms:W3CDTF">2024-03-06T09:09:32Z</dcterms:modified>
  <dc:title>2020年海口市国民经济和社会发展统计公报</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4C538E0B26DE4DFD9904228F7395F14F</vt:lpwstr>
  </property>
</Properties>
</file>