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20" w:lineRule="exact"/>
        <w:ind w:left="0" w:leftChars="0"/>
        <w:jc w:val="center"/>
        <w:textAlignment w:val="auto"/>
        <w:rPr>
          <w:rFonts w:hint="eastAsia" w:ascii="方正小标宋简体" w:hAnsi="方正小标宋简体" w:eastAsia="方正小标宋简体" w:cs="方正小标宋简体"/>
          <w:b w:val="0"/>
          <w:bCs w:val="0"/>
          <w:color w:val="auto"/>
          <w:spacing w:val="20"/>
          <w:sz w:val="44"/>
          <w:szCs w:val="30"/>
        </w:rPr>
      </w:pPr>
      <w:r>
        <w:rPr>
          <w:rFonts w:hint="eastAsia" w:ascii="方正小标宋简体" w:hAnsi="方正小标宋简体" w:eastAsia="方正小标宋简体" w:cs="方正小标宋简体"/>
          <w:b w:val="0"/>
          <w:bCs w:val="0"/>
          <w:color w:val="auto"/>
          <w:spacing w:val="20"/>
          <w:sz w:val="44"/>
          <w:szCs w:val="30"/>
          <w:lang w:eastAsia="zh-CN"/>
        </w:rPr>
        <w:t>2022年</w:t>
      </w:r>
      <w:r>
        <w:rPr>
          <w:rFonts w:hint="eastAsia" w:ascii="方正小标宋简体" w:hAnsi="方正小标宋简体" w:eastAsia="方正小标宋简体" w:cs="方正小标宋简体"/>
          <w:b w:val="0"/>
          <w:bCs w:val="0"/>
          <w:color w:val="auto"/>
          <w:spacing w:val="20"/>
          <w:sz w:val="44"/>
          <w:szCs w:val="30"/>
        </w:rPr>
        <w:t>海口市国民经济和社会发展</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color w:val="auto"/>
          <w:kern w:val="2"/>
          <w:sz w:val="44"/>
          <w:szCs w:val="32"/>
          <w:lang w:eastAsia="zh-CN"/>
        </w:rPr>
      </w:pPr>
      <w:r>
        <w:rPr>
          <w:rFonts w:hint="eastAsia" w:ascii="方正小标宋简体" w:hAnsi="方正小标宋简体" w:eastAsia="方正小标宋简体" w:cs="方正小标宋简体"/>
          <w:b w:val="0"/>
          <w:bCs w:val="0"/>
          <w:color w:val="auto"/>
          <w:spacing w:val="20"/>
          <w:sz w:val="44"/>
          <w:szCs w:val="30"/>
        </w:rPr>
        <w:t>统计公报</w:t>
      </w:r>
    </w:p>
    <w:p>
      <w:pPr>
        <w:keepNext w:val="0"/>
        <w:keepLines w:val="0"/>
        <w:pageBreakBefore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color w:val="auto"/>
          <w:kern w:val="2"/>
          <w:sz w:val="28"/>
          <w:szCs w:val="28"/>
        </w:rPr>
      </w:pPr>
    </w:p>
    <w:p>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2022年，是坚定信心、攻坚克难的一年。面对多重超预期因素冲击，在市委、市政府的坚强领导下，全市认真学习贯彻党的二十大精神，全面落实习近平总书记关于海南工作的重要讲话重要指示批示精神，锚定“一本三基四梁八柱”战略框架不动摇，坚持稳中求进工作总基调，高效统筹疫情防控和经济社会发展，统筹发展和安全，迎难而上，砥砺前行，全市经济社会承压稳定恢复，主要指标逐季改善，回稳向好态势不断巩固，高质量发展取得新成效。</w:t>
      </w:r>
    </w:p>
    <w:p>
      <w:pPr>
        <w:keepNext w:val="0"/>
        <w:keepLines w:val="0"/>
        <w:pageBreakBefore w:val="0"/>
        <w:widowControl/>
        <w:kinsoku/>
        <w:wordWrap/>
        <w:overflowPunct/>
        <w:topLinePunct w:val="0"/>
        <w:autoSpaceDE/>
        <w:autoSpaceDN/>
        <w:bidi w:val="0"/>
        <w:adjustRightInd/>
        <w:snapToGrid/>
        <w:spacing w:line="520" w:lineRule="exact"/>
        <w:ind w:left="0" w:leftChars="0" w:firstLine="720" w:firstLineChars="200"/>
        <w:jc w:val="both"/>
        <w:textAlignment w:val="auto"/>
        <w:rPr>
          <w:rFonts w:hint="eastAsia" w:ascii="黑体" w:hAnsi="黑体" w:eastAsia="黑体" w:cs="黑体"/>
          <w:b w:val="0"/>
          <w:bCs/>
          <w:color w:val="auto"/>
          <w:spacing w:val="20"/>
          <w:sz w:val="32"/>
          <w:szCs w:val="32"/>
        </w:rPr>
      </w:pPr>
      <w:r>
        <w:rPr>
          <w:rFonts w:hint="eastAsia" w:ascii="黑体" w:hAnsi="黑体" w:eastAsia="黑体" w:cs="黑体"/>
          <w:b w:val="0"/>
          <w:bCs/>
          <w:color w:val="auto"/>
          <w:spacing w:val="20"/>
          <w:sz w:val="32"/>
          <w:szCs w:val="32"/>
          <w:shd w:val="clear" w:color="auto" w:fill="FFFFFF"/>
        </w:rPr>
        <w:t>一、综合</w:t>
      </w:r>
    </w:p>
    <w:p>
      <w:pPr>
        <w:keepNext w:val="0"/>
        <w:keepLines w:val="0"/>
        <w:pageBreakBefore w:val="0"/>
        <w:widowControl/>
        <w:kinsoku/>
        <w:wordWrap/>
        <w:overflowPunct/>
        <w:topLinePunct w:val="0"/>
        <w:autoSpaceDE/>
        <w:autoSpaceDN/>
        <w:bidi w:val="0"/>
        <w:adjustRightInd/>
        <w:snapToGrid/>
        <w:spacing w:line="52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（一）地区生产总值</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初步核算，2022年实现地区生产总值2134.77亿元，按可比价格计算，比上年增长1.3%。按产业分，第一产业增加值99.19亿元，增长5.6%；第二产业增加值406.30亿元，增长6.8%；第三产业增加值1629.2</w:t>
      </w:r>
      <w:r>
        <w:rPr>
          <w:rFonts w:hint="eastAsia" w:ascii="仿宋" w:hAnsi="仿宋" w:eastAsia="仿宋" w:cs="仿宋"/>
          <w:color w:val="auto"/>
          <w:spacing w:val="20"/>
          <w:sz w:val="32"/>
          <w:szCs w:val="32"/>
          <w:shd w:val="clear" w:color="auto" w:fill="FFFFFF"/>
          <w:lang w:val="en-US" w:eastAsia="zh-CN"/>
        </w:rPr>
        <w:t>8</w:t>
      </w:r>
      <w:r>
        <w:rPr>
          <w:rFonts w:hint="eastAsia" w:ascii="仿宋" w:hAnsi="仿宋" w:eastAsia="仿宋" w:cs="仿宋"/>
          <w:color w:val="auto"/>
          <w:spacing w:val="20"/>
          <w:sz w:val="32"/>
          <w:szCs w:val="32"/>
          <w:shd w:val="clear" w:color="auto" w:fill="FFFFFF"/>
        </w:rPr>
        <w:t>亿元，下降0.1%。产业结构持续优化，三次产业结构比为4.7%</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19.0%</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76.3%；三次产业对经济增长的贡献率分别为18.7%、87.0%和-5.8%。</w:t>
      </w:r>
    </w:p>
    <w:p>
      <w:pPr>
        <w:ind w:left="0" w:leftChars="0" w:firstLine="480" w:firstLineChars="200"/>
        <w:jc w:val="both"/>
        <w:rPr>
          <w:rFonts w:hint="eastAsia" w:ascii="仿宋" w:hAnsi="仿宋" w:eastAsia="仿宋" w:cs="仿宋"/>
          <w:color w:val="auto"/>
          <w:spacing w:val="20"/>
          <w:sz w:val="28"/>
          <w:szCs w:val="28"/>
          <w:shd w:val="clear" w:color="auto" w:fill="FFFFFF"/>
        </w:rPr>
      </w:pPr>
      <w:r>
        <w:rPr>
          <w:color w:val="auto"/>
        </w:rPr>
        <w:drawing>
          <wp:inline distT="0" distB="0" distL="114300" distR="114300">
            <wp:extent cx="4829175" cy="2000885"/>
            <wp:effectExtent l="4445" t="4445" r="5080" b="1397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lang w:eastAsia="zh-CN"/>
        </w:rPr>
      </w:pPr>
      <w:r>
        <w:rPr>
          <w:rFonts w:hint="eastAsia" w:ascii="楷体" w:hAnsi="楷体" w:eastAsia="楷体" w:cs="楷体"/>
          <w:b w:val="0"/>
          <w:bCs/>
          <w:color w:val="auto"/>
          <w:spacing w:val="20"/>
          <w:sz w:val="32"/>
          <w:szCs w:val="32"/>
        </w:rPr>
        <w:t>（二）财政收支</w:t>
      </w:r>
    </w:p>
    <w:p>
      <w:pPr>
        <w:pStyle w:val="28"/>
        <w:keepNext w:val="0"/>
        <w:keepLines w:val="0"/>
        <w:pageBreakBefore w:val="0"/>
        <w:widowControl w:val="0"/>
        <w:kinsoku/>
        <w:wordWrap/>
        <w:overflowPunct/>
        <w:topLinePunct w:val="0"/>
        <w:autoSpaceDE/>
        <w:autoSpaceDN/>
        <w:bidi w:val="0"/>
        <w:adjustRightInd/>
        <w:snapToGrid/>
        <w:spacing w:after="0" w:line="540" w:lineRule="exact"/>
        <w:ind w:left="0" w:leftChars="0"/>
        <w:textAlignment w:val="baseline"/>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全市全口径一般公共预算收入553.2亿元，同比下降2.3%，同口径增长4%。其中地方一般公共预算收入204.8亿元，下降1.7%，同口径增长0.2%。在地方一般公共预算收入中，实现税收收入178.1亿元，下降0.7%，同口径增长1.4%，其中国内增值税49.8亿元，下降</w:t>
      </w:r>
      <w:r>
        <w:rPr>
          <w:rFonts w:hint="eastAsia" w:ascii="仿宋" w:hAnsi="仿宋" w:eastAsia="仿宋" w:cs="仿宋"/>
          <w:color w:val="auto"/>
          <w:spacing w:val="20"/>
          <w:sz w:val="32"/>
          <w:szCs w:val="32"/>
          <w:lang w:val="en-US" w:eastAsia="zh-CN"/>
        </w:rPr>
        <w:t>18.1</w:t>
      </w:r>
      <w:r>
        <w:rPr>
          <w:rFonts w:hint="eastAsia" w:ascii="仿宋" w:hAnsi="仿宋" w:eastAsia="仿宋" w:cs="仿宋"/>
          <w:color w:val="auto"/>
          <w:spacing w:val="20"/>
          <w:sz w:val="32"/>
          <w:szCs w:val="32"/>
        </w:rPr>
        <w:t>%；企业所得税40.3亿元，增长7.8%；个人所得税23.1亿元，增长43.4%；土地增值税22.4亿元，增长18.9%。</w:t>
      </w:r>
    </w:p>
    <w:p>
      <w:pPr>
        <w:pStyle w:val="28"/>
        <w:keepNext w:val="0"/>
        <w:keepLines w:val="0"/>
        <w:pageBreakBefore w:val="0"/>
        <w:widowControl w:val="0"/>
        <w:kinsoku/>
        <w:wordWrap/>
        <w:overflowPunct/>
        <w:topLinePunct w:val="0"/>
        <w:autoSpaceDE/>
        <w:autoSpaceDN/>
        <w:bidi w:val="0"/>
        <w:adjustRightInd/>
        <w:snapToGrid/>
        <w:spacing w:after="0" w:line="540" w:lineRule="exact"/>
        <w:ind w:left="0" w:leftChars="0"/>
        <w:textAlignment w:val="baseline"/>
        <w:rPr>
          <w:rFonts w:hint="eastAsia"/>
          <w:color w:val="auto"/>
          <w:sz w:val="32"/>
          <w:szCs w:val="32"/>
        </w:rPr>
      </w:pPr>
      <w:r>
        <w:rPr>
          <w:rFonts w:hint="eastAsia" w:ascii="仿宋" w:hAnsi="仿宋" w:eastAsia="仿宋" w:cs="仿宋"/>
          <w:color w:val="auto"/>
          <w:spacing w:val="20"/>
          <w:sz w:val="32"/>
          <w:szCs w:val="32"/>
        </w:rPr>
        <w:t>全年地方一般公共预算支出332.3亿元，增长21.2%。全年财政民生支出233.6亿元，占地方一般公共预算支出的70.3%。其中教育支出48.4亿元，增长</w:t>
      </w:r>
      <w:r>
        <w:rPr>
          <w:rFonts w:hint="eastAsia" w:ascii="仿宋" w:hAnsi="仿宋" w:eastAsia="仿宋" w:cs="仿宋"/>
          <w:color w:val="auto"/>
          <w:spacing w:val="20"/>
          <w:sz w:val="32"/>
          <w:szCs w:val="32"/>
          <w:lang w:val="en-US" w:eastAsia="zh-CN"/>
        </w:rPr>
        <w:t>5.6</w:t>
      </w:r>
      <w:r>
        <w:rPr>
          <w:rFonts w:hint="eastAsia" w:ascii="仿宋" w:hAnsi="仿宋" w:eastAsia="仿宋" w:cs="仿宋"/>
          <w:color w:val="auto"/>
          <w:spacing w:val="20"/>
          <w:sz w:val="32"/>
          <w:szCs w:val="32"/>
        </w:rPr>
        <w:t>%；社会保障和就业支出42亿元，增长41.9%；卫生健康支出32.5亿元，增长57.8%；城乡社区支出62.1亿元，增长23.9%；农林水支出19亿元，增长0.4%；交通运输支出9.1亿元，增长13.1%；住房保障支出10.9亿元，增长15.1%。</w:t>
      </w:r>
    </w:p>
    <w:p>
      <w:pPr>
        <w:ind w:left="0" w:leftChars="0" w:firstLine="480" w:firstLineChars="200"/>
        <w:jc w:val="both"/>
        <w:rPr>
          <w:rFonts w:hint="eastAsia" w:ascii="仿宋" w:hAnsi="仿宋" w:eastAsia="仿宋" w:cs="仿宋"/>
          <w:color w:val="auto"/>
          <w:spacing w:val="20"/>
          <w:sz w:val="28"/>
          <w:szCs w:val="28"/>
          <w:shd w:val="clear" w:color="auto" w:fill="FFFFFF"/>
        </w:rPr>
      </w:pPr>
      <w:r>
        <w:rPr>
          <w:color w:val="auto"/>
        </w:rPr>
        <w:drawing>
          <wp:inline distT="0" distB="0" distL="114300" distR="114300">
            <wp:extent cx="4886960" cy="2690495"/>
            <wp:effectExtent l="0" t="0" r="8890" b="1460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snapToGrid w:val="0"/>
          <w:color w:val="auto"/>
          <w:spacing w:val="20"/>
          <w:sz w:val="32"/>
          <w:szCs w:val="32"/>
          <w:lang w:eastAsia="zh-CN"/>
        </w:rPr>
      </w:pPr>
      <w:r>
        <w:rPr>
          <w:rFonts w:hint="eastAsia" w:ascii="楷体" w:hAnsi="楷体" w:eastAsia="楷体" w:cs="楷体"/>
          <w:b w:val="0"/>
          <w:bCs/>
          <w:snapToGrid w:val="0"/>
          <w:color w:val="auto"/>
          <w:spacing w:val="20"/>
          <w:sz w:val="32"/>
          <w:szCs w:val="32"/>
        </w:rPr>
        <w:t>（三）固定资产投资</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lang w:val="en"/>
        </w:rPr>
      </w:pPr>
      <w:r>
        <w:rPr>
          <w:rFonts w:hint="eastAsia" w:ascii="仿宋" w:hAnsi="仿宋" w:eastAsia="仿宋" w:cs="仿宋"/>
          <w:color w:val="auto"/>
          <w:spacing w:val="20"/>
          <w:sz w:val="32"/>
          <w:szCs w:val="32"/>
          <w:lang w:val="en" w:eastAsia="zh-CN"/>
        </w:rPr>
        <w:t>2022年</w:t>
      </w:r>
      <w:r>
        <w:rPr>
          <w:rFonts w:hint="eastAsia" w:ascii="仿宋" w:hAnsi="仿宋" w:eastAsia="仿宋" w:cs="仿宋"/>
          <w:color w:val="auto"/>
          <w:spacing w:val="20"/>
          <w:sz w:val="32"/>
          <w:szCs w:val="32"/>
          <w:lang w:val="en"/>
        </w:rPr>
        <w:t>，全力推进封关项目，扎实做好涉及我市10个封关运作项目建设准备。对2022年政府投资项目目标执行情况进行亮牌，跟踪重大社会投资项目落实情况，激活社会资本、逐步提升产业投资项目比例。</w:t>
      </w:r>
      <w:r>
        <w:rPr>
          <w:rFonts w:hint="eastAsia" w:ascii="仿宋" w:hAnsi="仿宋" w:eastAsia="仿宋" w:cs="仿宋"/>
          <w:color w:val="auto"/>
          <w:spacing w:val="20"/>
          <w:sz w:val="32"/>
          <w:szCs w:val="32"/>
          <w:lang w:val="en" w:eastAsia="zh-CN"/>
        </w:rPr>
        <w:t>完成</w:t>
      </w:r>
      <w:r>
        <w:rPr>
          <w:rFonts w:hint="eastAsia" w:ascii="仿宋" w:hAnsi="仿宋" w:eastAsia="仿宋" w:cs="仿宋"/>
          <w:color w:val="auto"/>
          <w:spacing w:val="20"/>
          <w:sz w:val="32"/>
          <w:szCs w:val="32"/>
          <w:lang w:val="en"/>
        </w:rPr>
        <w:t>政府下达我市省重点项目45个，总投资977.1亿元，年度计划投资191.8亿元</w:t>
      </w:r>
      <w:r>
        <w:rPr>
          <w:rFonts w:hint="eastAsia" w:ascii="仿宋" w:hAnsi="仿宋" w:eastAsia="仿宋" w:cs="仿宋"/>
          <w:color w:val="auto"/>
          <w:spacing w:val="20"/>
          <w:sz w:val="32"/>
          <w:szCs w:val="32"/>
          <w:lang w:val="en" w:eastAsia="zh-CN"/>
        </w:rPr>
        <w:t>。</w:t>
      </w:r>
      <w:r>
        <w:rPr>
          <w:rFonts w:hint="eastAsia" w:ascii="仿宋" w:hAnsi="仿宋" w:eastAsia="仿宋" w:cs="仿宋"/>
          <w:color w:val="auto"/>
          <w:spacing w:val="20"/>
          <w:sz w:val="32"/>
          <w:szCs w:val="32"/>
          <w:lang w:val="en"/>
        </w:rPr>
        <w:t>牵头举办自由贸易港建设项目2022年度三批集中开工，合计集中开工项目51个项目，总投资315.1亿元。</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lang w:val="en"/>
        </w:rPr>
        <w:t>全</w:t>
      </w:r>
      <w:r>
        <w:rPr>
          <w:rFonts w:hint="eastAsia" w:ascii="仿宋" w:hAnsi="仿宋" w:eastAsia="仿宋" w:cs="仿宋"/>
          <w:color w:val="auto"/>
          <w:spacing w:val="20"/>
          <w:sz w:val="32"/>
          <w:szCs w:val="32"/>
          <w:lang w:val="en" w:eastAsia="zh-CN"/>
        </w:rPr>
        <w:t>年</w:t>
      </w:r>
      <w:r>
        <w:rPr>
          <w:rFonts w:hint="eastAsia" w:ascii="仿宋" w:hAnsi="仿宋" w:eastAsia="仿宋" w:cs="仿宋"/>
          <w:color w:val="auto"/>
          <w:spacing w:val="20"/>
          <w:sz w:val="32"/>
          <w:szCs w:val="32"/>
          <w:lang w:val="en"/>
        </w:rPr>
        <w:t>完成固定资产投资比上</w:t>
      </w:r>
      <w:r>
        <w:rPr>
          <w:rFonts w:hint="eastAsia" w:ascii="仿宋" w:hAnsi="仿宋" w:eastAsia="仿宋" w:cs="仿宋"/>
          <w:color w:val="auto"/>
          <w:spacing w:val="20"/>
          <w:sz w:val="32"/>
          <w:szCs w:val="32"/>
          <w:lang w:val="en" w:eastAsia="zh-CN"/>
        </w:rPr>
        <w:t>年下降</w:t>
      </w:r>
      <w:r>
        <w:rPr>
          <w:rFonts w:hint="eastAsia" w:ascii="仿宋" w:hAnsi="仿宋" w:eastAsia="仿宋" w:cs="仿宋"/>
          <w:color w:val="auto"/>
          <w:spacing w:val="20"/>
          <w:sz w:val="32"/>
          <w:szCs w:val="32"/>
          <w:lang w:val="en-US" w:eastAsia="zh-CN"/>
        </w:rPr>
        <w:t>12.7</w:t>
      </w:r>
      <w:r>
        <w:rPr>
          <w:rFonts w:hint="eastAsia" w:ascii="仿宋" w:hAnsi="仿宋" w:eastAsia="仿宋" w:cs="仿宋"/>
          <w:color w:val="auto"/>
          <w:spacing w:val="20"/>
          <w:sz w:val="32"/>
          <w:szCs w:val="32"/>
          <w:lang w:val="en"/>
        </w:rPr>
        <w:t>%，</w:t>
      </w:r>
      <w:r>
        <w:rPr>
          <w:rFonts w:hint="eastAsia" w:ascii="仿宋" w:hAnsi="仿宋" w:eastAsia="仿宋" w:cs="仿宋"/>
          <w:color w:val="auto"/>
          <w:spacing w:val="20"/>
          <w:sz w:val="32"/>
          <w:szCs w:val="32"/>
          <w:shd w:val="clear" w:color="auto" w:fill="FFFFFF"/>
        </w:rPr>
        <w:t>其中：房地产</w:t>
      </w:r>
      <w:r>
        <w:rPr>
          <w:rFonts w:hint="eastAsia" w:ascii="仿宋" w:hAnsi="仿宋" w:eastAsia="仿宋" w:cs="仿宋"/>
          <w:color w:val="auto"/>
          <w:spacing w:val="20"/>
          <w:sz w:val="32"/>
          <w:szCs w:val="32"/>
          <w:shd w:val="clear" w:color="auto" w:fill="FFFFFF"/>
          <w:lang w:eastAsia="zh-CN"/>
        </w:rPr>
        <w:t>开发</w:t>
      </w:r>
      <w:r>
        <w:rPr>
          <w:rFonts w:hint="eastAsia" w:ascii="仿宋" w:hAnsi="仿宋" w:eastAsia="仿宋" w:cs="仿宋"/>
          <w:color w:val="auto"/>
          <w:spacing w:val="20"/>
          <w:sz w:val="32"/>
          <w:szCs w:val="32"/>
          <w:shd w:val="clear" w:color="auto" w:fill="FFFFFF"/>
        </w:rPr>
        <w:t>投资</w:t>
      </w:r>
      <w:r>
        <w:rPr>
          <w:rFonts w:hint="eastAsia" w:ascii="仿宋" w:hAnsi="仿宋" w:eastAsia="仿宋" w:cs="仿宋"/>
          <w:color w:val="auto"/>
          <w:spacing w:val="20"/>
          <w:sz w:val="32"/>
          <w:szCs w:val="32"/>
          <w:shd w:val="clear" w:color="auto" w:fill="FFFFFF"/>
          <w:lang w:eastAsia="zh-CN"/>
        </w:rPr>
        <w:t>下降</w:t>
      </w:r>
      <w:r>
        <w:rPr>
          <w:rFonts w:hint="eastAsia" w:ascii="仿宋" w:hAnsi="仿宋" w:eastAsia="仿宋" w:cs="仿宋"/>
          <w:color w:val="auto"/>
          <w:spacing w:val="20"/>
          <w:sz w:val="32"/>
          <w:szCs w:val="32"/>
          <w:shd w:val="clear" w:color="auto" w:fill="FFFFFF"/>
          <w:lang w:val="en-US" w:eastAsia="zh-CN"/>
        </w:rPr>
        <w:t>3.2</w:t>
      </w:r>
      <w:r>
        <w:rPr>
          <w:rFonts w:hint="eastAsia" w:ascii="仿宋" w:hAnsi="仿宋" w:eastAsia="仿宋" w:cs="仿宋"/>
          <w:color w:val="auto"/>
          <w:spacing w:val="20"/>
          <w:sz w:val="32"/>
          <w:szCs w:val="32"/>
          <w:shd w:val="clear" w:color="auto" w:fill="FFFFFF"/>
        </w:rPr>
        <w:t>%，非房投资</w:t>
      </w:r>
      <w:r>
        <w:rPr>
          <w:rFonts w:hint="eastAsia" w:ascii="仿宋" w:hAnsi="仿宋" w:eastAsia="仿宋" w:cs="仿宋"/>
          <w:color w:val="auto"/>
          <w:spacing w:val="20"/>
          <w:sz w:val="32"/>
          <w:szCs w:val="32"/>
          <w:shd w:val="clear" w:color="auto" w:fill="FFFFFF"/>
          <w:lang w:eastAsia="zh-CN"/>
        </w:rPr>
        <w:t>下降</w:t>
      </w:r>
      <w:r>
        <w:rPr>
          <w:rFonts w:hint="eastAsia" w:ascii="仿宋" w:hAnsi="仿宋" w:eastAsia="仿宋" w:cs="仿宋"/>
          <w:color w:val="auto"/>
          <w:spacing w:val="20"/>
          <w:sz w:val="32"/>
          <w:szCs w:val="32"/>
          <w:shd w:val="clear" w:color="auto" w:fill="FFFFFF"/>
          <w:lang w:val="en-US" w:eastAsia="zh-CN"/>
        </w:rPr>
        <w:t>17.7</w:t>
      </w:r>
      <w:r>
        <w:rPr>
          <w:rFonts w:hint="eastAsia" w:ascii="仿宋" w:hAnsi="仿宋" w:eastAsia="仿宋" w:cs="仿宋"/>
          <w:color w:val="auto"/>
          <w:spacing w:val="20"/>
          <w:sz w:val="32"/>
          <w:szCs w:val="32"/>
          <w:shd w:val="clear" w:color="auto" w:fill="FFFFFF"/>
        </w:rPr>
        <w:t>%。分产业看，第一产业投资</w:t>
      </w:r>
      <w:r>
        <w:rPr>
          <w:rFonts w:hint="eastAsia" w:ascii="仿宋" w:hAnsi="仿宋" w:eastAsia="仿宋" w:cs="仿宋"/>
          <w:color w:val="auto"/>
          <w:spacing w:val="20"/>
          <w:sz w:val="32"/>
          <w:szCs w:val="32"/>
          <w:shd w:val="clear" w:color="auto" w:fill="FFFFFF"/>
          <w:lang w:eastAsia="zh-CN"/>
        </w:rPr>
        <w:t>下降</w:t>
      </w:r>
      <w:r>
        <w:rPr>
          <w:rFonts w:hint="eastAsia" w:ascii="仿宋" w:hAnsi="仿宋" w:eastAsia="仿宋" w:cs="仿宋"/>
          <w:color w:val="auto"/>
          <w:spacing w:val="20"/>
          <w:sz w:val="32"/>
          <w:szCs w:val="32"/>
          <w:shd w:val="clear" w:color="auto" w:fill="FFFFFF"/>
          <w:lang w:val="en-US" w:eastAsia="zh-CN"/>
        </w:rPr>
        <w:t>38.4</w:t>
      </w:r>
      <w:r>
        <w:rPr>
          <w:rFonts w:hint="eastAsia" w:ascii="仿宋" w:hAnsi="仿宋" w:eastAsia="仿宋" w:cs="仿宋"/>
          <w:color w:val="auto"/>
          <w:spacing w:val="20"/>
          <w:sz w:val="32"/>
          <w:szCs w:val="32"/>
          <w:shd w:val="clear" w:color="auto" w:fill="FFFFFF"/>
        </w:rPr>
        <w:t>%，第二产业投资</w:t>
      </w:r>
      <w:r>
        <w:rPr>
          <w:rFonts w:hint="eastAsia" w:ascii="仿宋" w:hAnsi="仿宋" w:eastAsia="仿宋" w:cs="仿宋"/>
          <w:color w:val="auto"/>
          <w:spacing w:val="20"/>
          <w:sz w:val="32"/>
          <w:szCs w:val="32"/>
          <w:shd w:val="clear" w:color="auto" w:fill="FFFFFF"/>
          <w:lang w:eastAsia="zh-CN"/>
        </w:rPr>
        <w:t>增长</w:t>
      </w:r>
      <w:r>
        <w:rPr>
          <w:rFonts w:hint="eastAsia" w:ascii="仿宋" w:hAnsi="仿宋" w:eastAsia="仿宋" w:cs="仿宋"/>
          <w:color w:val="auto"/>
          <w:spacing w:val="20"/>
          <w:sz w:val="32"/>
          <w:szCs w:val="32"/>
          <w:shd w:val="clear" w:color="auto" w:fill="FFFFFF"/>
          <w:lang w:val="en-US" w:eastAsia="zh-CN"/>
        </w:rPr>
        <w:t>18.3</w:t>
      </w:r>
      <w:r>
        <w:rPr>
          <w:rFonts w:hint="eastAsia" w:ascii="仿宋" w:hAnsi="仿宋" w:eastAsia="仿宋" w:cs="仿宋"/>
          <w:color w:val="auto"/>
          <w:spacing w:val="20"/>
          <w:sz w:val="32"/>
          <w:szCs w:val="32"/>
          <w:shd w:val="clear" w:color="auto" w:fill="FFFFFF"/>
        </w:rPr>
        <w:t>%，第三产业投资</w:t>
      </w:r>
      <w:r>
        <w:rPr>
          <w:rFonts w:hint="eastAsia" w:ascii="仿宋" w:hAnsi="仿宋" w:eastAsia="仿宋" w:cs="仿宋"/>
          <w:color w:val="auto"/>
          <w:spacing w:val="20"/>
          <w:sz w:val="32"/>
          <w:szCs w:val="32"/>
          <w:shd w:val="clear" w:color="auto" w:fill="FFFFFF"/>
          <w:lang w:eastAsia="zh-CN"/>
        </w:rPr>
        <w:t>下降</w:t>
      </w:r>
      <w:r>
        <w:rPr>
          <w:rFonts w:hint="eastAsia" w:ascii="仿宋" w:hAnsi="仿宋" w:eastAsia="仿宋" w:cs="仿宋"/>
          <w:color w:val="auto"/>
          <w:spacing w:val="20"/>
          <w:sz w:val="32"/>
          <w:szCs w:val="32"/>
          <w:shd w:val="clear" w:color="auto" w:fill="FFFFFF"/>
          <w:lang w:val="en-US" w:eastAsia="zh-CN"/>
        </w:rPr>
        <w:t>15.9</w:t>
      </w:r>
      <w:r>
        <w:rPr>
          <w:rFonts w:hint="eastAsia" w:ascii="仿宋" w:hAnsi="仿宋" w:eastAsia="仿宋" w:cs="仿宋"/>
          <w:color w:val="auto"/>
          <w:spacing w:val="20"/>
          <w:sz w:val="32"/>
          <w:szCs w:val="32"/>
          <w:shd w:val="clear" w:color="auto" w:fill="FFFFFF"/>
        </w:rPr>
        <w:t>%，三次产业投资比例为</w:t>
      </w:r>
      <w:r>
        <w:rPr>
          <w:rFonts w:hint="eastAsia" w:ascii="仿宋" w:hAnsi="仿宋" w:eastAsia="仿宋" w:cs="仿宋"/>
          <w:color w:val="auto"/>
          <w:spacing w:val="20"/>
          <w:sz w:val="32"/>
          <w:szCs w:val="32"/>
          <w:shd w:val="clear" w:color="auto" w:fill="FFFFFF"/>
          <w:lang w:val="en-US" w:eastAsia="zh-CN"/>
        </w:rPr>
        <w:t>0.3:12.8:86.9</w:t>
      </w:r>
      <w:r>
        <w:rPr>
          <w:rFonts w:hint="eastAsia" w:ascii="仿宋" w:hAnsi="仿宋" w:eastAsia="仿宋" w:cs="仿宋"/>
          <w:color w:val="auto"/>
          <w:spacing w:val="20"/>
          <w:sz w:val="32"/>
          <w:szCs w:val="32"/>
          <w:shd w:val="clear" w:color="auto" w:fill="FFFFFF"/>
        </w:rPr>
        <w:t>。房地产</w:t>
      </w:r>
      <w:r>
        <w:rPr>
          <w:rFonts w:hint="eastAsia" w:ascii="仿宋" w:hAnsi="仿宋" w:eastAsia="仿宋" w:cs="仿宋"/>
          <w:color w:val="auto"/>
          <w:spacing w:val="20"/>
          <w:sz w:val="32"/>
          <w:szCs w:val="32"/>
          <w:shd w:val="clear" w:color="auto" w:fill="FFFFFF"/>
          <w:lang w:eastAsia="zh-CN"/>
        </w:rPr>
        <w:t>开发</w:t>
      </w:r>
      <w:r>
        <w:rPr>
          <w:rFonts w:hint="eastAsia" w:ascii="仿宋" w:hAnsi="仿宋" w:eastAsia="仿宋" w:cs="仿宋"/>
          <w:color w:val="auto"/>
          <w:spacing w:val="20"/>
          <w:sz w:val="32"/>
          <w:szCs w:val="32"/>
          <w:shd w:val="clear" w:color="auto" w:fill="FFFFFF"/>
        </w:rPr>
        <w:t>与非房项目结构比由</w:t>
      </w:r>
      <w:r>
        <w:rPr>
          <w:rFonts w:hint="eastAsia" w:ascii="仿宋" w:hAnsi="仿宋" w:eastAsia="仿宋" w:cs="仿宋"/>
          <w:color w:val="auto"/>
          <w:spacing w:val="20"/>
          <w:sz w:val="32"/>
          <w:szCs w:val="32"/>
          <w:shd w:val="clear" w:color="auto" w:fill="FFFFFF"/>
          <w:lang w:val="en-US" w:eastAsia="zh-CN"/>
        </w:rPr>
        <w:t>34.2:65.8</w:t>
      </w:r>
      <w:r>
        <w:rPr>
          <w:rFonts w:hint="eastAsia" w:ascii="仿宋" w:hAnsi="仿宋" w:eastAsia="仿宋" w:cs="仿宋"/>
          <w:color w:val="auto"/>
          <w:spacing w:val="20"/>
          <w:sz w:val="32"/>
          <w:szCs w:val="32"/>
          <w:shd w:val="clear" w:color="auto" w:fill="FFFFFF"/>
        </w:rPr>
        <w:t>调整为</w:t>
      </w:r>
      <w:r>
        <w:rPr>
          <w:rFonts w:hint="eastAsia" w:ascii="仿宋" w:hAnsi="仿宋" w:eastAsia="仿宋" w:cs="仿宋"/>
          <w:color w:val="auto"/>
          <w:spacing w:val="20"/>
          <w:sz w:val="32"/>
          <w:szCs w:val="32"/>
          <w:shd w:val="clear" w:color="auto" w:fill="FFFFFF"/>
          <w:lang w:val="en-US" w:eastAsia="zh-CN"/>
        </w:rPr>
        <w:t>37.9:62.1</w:t>
      </w:r>
      <w:r>
        <w:rPr>
          <w:rFonts w:hint="eastAsia" w:ascii="仿宋" w:hAnsi="仿宋" w:eastAsia="仿宋" w:cs="仿宋"/>
          <w:color w:val="auto"/>
          <w:spacing w:val="20"/>
          <w:sz w:val="32"/>
          <w:szCs w:val="32"/>
          <w:shd w:val="clear" w:color="auto" w:fill="FFFFFF"/>
        </w:rPr>
        <w:t>，投资结构不断优化。</w:t>
      </w:r>
    </w:p>
    <w:p>
      <w:pPr>
        <w:pStyle w:val="28"/>
        <w:rPr>
          <w:rFonts w:hint="eastAsia"/>
          <w:color w:val="auto"/>
        </w:rPr>
      </w:pPr>
    </w:p>
    <w:p>
      <w:pPr>
        <w:pStyle w:val="28"/>
        <w:ind w:left="0" w:leftChars="0" w:firstLine="0" w:firstLineChars="0"/>
        <w:jc w:val="center"/>
        <w:rPr>
          <w:rFonts w:hint="eastAsia"/>
          <w:color w:val="auto"/>
        </w:rPr>
      </w:pPr>
      <w:r>
        <w:rPr>
          <w:color w:val="auto"/>
        </w:rPr>
        <w:drawing>
          <wp:inline distT="0" distB="0" distL="114300" distR="114300">
            <wp:extent cx="4448175" cy="2315210"/>
            <wp:effectExtent l="5080" t="4445" r="4445" b="2349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rPr>
      </w:pPr>
      <w:r>
        <w:rPr>
          <w:rFonts w:hint="eastAsia" w:ascii="楷体" w:hAnsi="楷体" w:eastAsia="楷体" w:cs="楷体"/>
          <w:b w:val="0"/>
          <w:bCs/>
          <w:color w:val="auto"/>
          <w:spacing w:val="20"/>
          <w:sz w:val="32"/>
          <w:szCs w:val="32"/>
          <w:shd w:val="clear" w:color="auto" w:fill="FFFFFF"/>
        </w:rPr>
        <w:t>（四）</w:t>
      </w:r>
      <w:r>
        <w:rPr>
          <w:rFonts w:hint="eastAsia" w:ascii="楷体" w:hAnsi="楷体" w:eastAsia="楷体" w:cs="楷体"/>
          <w:b w:val="0"/>
          <w:bCs/>
          <w:color w:val="auto"/>
          <w:spacing w:val="20"/>
          <w:sz w:val="32"/>
          <w:szCs w:val="32"/>
        </w:rPr>
        <w:t>居民消费价格</w:t>
      </w:r>
    </w:p>
    <w:p>
      <w:pPr>
        <w:pStyle w:val="28"/>
        <w:keepNext w:val="0"/>
        <w:keepLines w:val="0"/>
        <w:pageBreakBefore w:val="0"/>
        <w:widowControl/>
        <w:kinsoku/>
        <w:wordWrap/>
        <w:overflowPunct/>
        <w:topLinePunct w:val="0"/>
        <w:autoSpaceDE/>
        <w:autoSpaceDN/>
        <w:bidi w:val="0"/>
        <w:adjustRightInd/>
        <w:snapToGrid/>
        <w:spacing w:after="0" w:line="540" w:lineRule="exact"/>
        <w:ind w:left="0" w:leftChars="0"/>
        <w:textAlignment w:val="baseline"/>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海口市居民消费价格同比上涨1.1%。分类别看,食品烟酒价格上涨1.9%,衣着价格上涨0.5%,居住价格下降2.1%,生活用品及服务价格上涨0.4%,交通和通信价格上涨4.6%,教育文化和娱乐价格上涨2.4%,医疗保健价格下降0.9%,其他用品和服务价格上涨0.3%。</w:t>
      </w:r>
    </w:p>
    <w:p>
      <w:pPr>
        <w:pStyle w:val="28"/>
        <w:keepNext w:val="0"/>
        <w:keepLines w:val="0"/>
        <w:pageBreakBefore w:val="0"/>
        <w:widowControl/>
        <w:kinsoku/>
        <w:wordWrap/>
        <w:overflowPunct/>
        <w:topLinePunct w:val="0"/>
        <w:autoSpaceDE/>
        <w:autoSpaceDN/>
        <w:bidi w:val="0"/>
        <w:adjustRightInd/>
        <w:snapToGrid/>
        <w:spacing w:after="0" w:line="540" w:lineRule="exact"/>
        <w:ind w:left="0" w:leftChars="0"/>
        <w:textAlignment w:val="baseline"/>
        <w:rPr>
          <w:rFonts w:hint="eastAsia" w:ascii="仿宋" w:hAnsi="仿宋" w:eastAsia="仿宋" w:cs="仿宋"/>
          <w:color w:val="auto"/>
          <w:spacing w:val="20"/>
          <w:sz w:val="32"/>
          <w:szCs w:val="32"/>
          <w:shd w:val="clear" w:color="auto" w:fill="FFFFFF"/>
          <w:lang w:eastAsia="zh-CN"/>
        </w:rPr>
      </w:pPr>
    </w:p>
    <w:tbl>
      <w:tblPr>
        <w:tblStyle w:val="23"/>
        <w:tblW w:w="5010" w:type="pct"/>
        <w:jc w:val="center"/>
        <w:tblLayout w:type="autofit"/>
        <w:tblCellMar>
          <w:top w:w="0" w:type="dxa"/>
          <w:left w:w="108" w:type="dxa"/>
          <w:bottom w:w="0" w:type="dxa"/>
          <w:right w:w="108" w:type="dxa"/>
        </w:tblCellMar>
      </w:tblPr>
      <w:tblGrid>
        <w:gridCol w:w="5144"/>
        <w:gridCol w:w="3395"/>
      </w:tblGrid>
      <w:tr>
        <w:tblPrEx>
          <w:tblCellMar>
            <w:top w:w="0" w:type="dxa"/>
            <w:left w:w="108" w:type="dxa"/>
            <w:bottom w:w="0" w:type="dxa"/>
            <w:right w:w="108" w:type="dxa"/>
          </w:tblCellMar>
        </w:tblPrEx>
        <w:trPr>
          <w:trHeight w:val="399" w:hRule="exact"/>
          <w:jc w:val="center"/>
        </w:trPr>
        <w:tc>
          <w:tcPr>
            <w:tcW w:w="5000" w:type="pct"/>
            <w:gridSpan w:val="2"/>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lang w:eastAsia="zh-CN"/>
              </w:rPr>
              <w:t>表</w:t>
            </w:r>
            <w:r>
              <w:rPr>
                <w:rFonts w:hint="eastAsia" w:ascii="仿宋" w:hAnsi="仿宋" w:eastAsia="仿宋" w:cs="仿宋"/>
                <w:color w:val="auto"/>
                <w:spacing w:val="20"/>
                <w:sz w:val="28"/>
                <w:szCs w:val="28"/>
                <w:lang w:val="en-US" w:eastAsia="zh-CN"/>
              </w:rPr>
              <w:t>1：</w:t>
            </w:r>
            <w:r>
              <w:rPr>
                <w:rFonts w:hint="eastAsia" w:ascii="仿宋" w:hAnsi="仿宋" w:eastAsia="仿宋" w:cs="仿宋"/>
                <w:color w:val="auto"/>
                <w:spacing w:val="20"/>
                <w:sz w:val="28"/>
                <w:szCs w:val="28"/>
              </w:rPr>
              <w:t>居民消费价格指数（CPI）</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指标名称</w:t>
            </w:r>
          </w:p>
        </w:tc>
        <w:tc>
          <w:tcPr>
            <w:tcW w:w="1987"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 xml:space="preserve">  2022年涨跌幅（%）</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居民消费价格指数</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rPr>
            </w:pPr>
            <w:r>
              <w:rPr>
                <w:rFonts w:hint="eastAsia" w:ascii="仿宋" w:hAnsi="仿宋" w:eastAsia="仿宋" w:cs="仿宋"/>
                <w:i w:val="0"/>
                <w:color w:val="auto"/>
                <w:kern w:val="0"/>
                <w:sz w:val="28"/>
                <w:szCs w:val="28"/>
                <w:u w:val="none"/>
                <w:lang w:val="en-US" w:eastAsia="zh-CN" w:bidi="ar"/>
              </w:rPr>
              <w:t>1.1</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一、食品烟酒</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1.9</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粮食</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-0.9</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食用油</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2.7</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鲜菜</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2.7</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畜肉类</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-4.9</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禽肉类</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3.1</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水产品</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6.8</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蛋类</w:t>
            </w:r>
          </w:p>
        </w:tc>
        <w:tc>
          <w:tcPr>
            <w:tcW w:w="1987" w:type="pct"/>
            <w:tcBorders>
              <w:top w:val="nil"/>
              <w:left w:val="nil"/>
              <w:bottom w:val="single" w:color="auto"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4.1</w:t>
            </w:r>
          </w:p>
        </w:tc>
      </w:tr>
      <w:tr>
        <w:tblPrEx>
          <w:tblCellMar>
            <w:top w:w="0" w:type="dxa"/>
            <w:left w:w="108" w:type="dxa"/>
            <w:bottom w:w="0" w:type="dxa"/>
            <w:right w:w="108" w:type="dxa"/>
          </w:tblCellMar>
        </w:tblPrEx>
        <w:trPr>
          <w:trHeight w:val="399" w:hRule="exact"/>
          <w:jc w:val="center"/>
        </w:trPr>
        <w:tc>
          <w:tcPr>
            <w:tcW w:w="3012" w:type="pct"/>
            <w:tcBorders>
              <w:top w:val="single" w:color="auto" w:sz="4" w:space="0"/>
              <w:left w:val="nil"/>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奶类</w:t>
            </w:r>
          </w:p>
        </w:tc>
        <w:tc>
          <w:tcPr>
            <w:tcW w:w="1987" w:type="pct"/>
            <w:tcBorders>
              <w:top w:val="single" w:color="auto" w:sz="4" w:space="0"/>
              <w:left w:val="nil"/>
              <w:bottom w:val="single" w:color="auto"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0.1</w:t>
            </w:r>
          </w:p>
        </w:tc>
      </w:tr>
      <w:tr>
        <w:tblPrEx>
          <w:tblCellMar>
            <w:top w:w="0" w:type="dxa"/>
            <w:left w:w="108" w:type="dxa"/>
            <w:bottom w:w="0" w:type="dxa"/>
            <w:right w:w="108" w:type="dxa"/>
          </w:tblCellMar>
        </w:tblPrEx>
        <w:trPr>
          <w:trHeight w:val="399" w:hRule="exact"/>
          <w:jc w:val="center"/>
        </w:trPr>
        <w:tc>
          <w:tcPr>
            <w:tcW w:w="3012" w:type="pct"/>
            <w:tcBorders>
              <w:top w:val="single" w:color="auto"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鲜瓜果</w:t>
            </w:r>
          </w:p>
        </w:tc>
        <w:tc>
          <w:tcPr>
            <w:tcW w:w="1987" w:type="pct"/>
            <w:tcBorders>
              <w:top w:val="single" w:color="auto"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10.3</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烟草</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2.1</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酒类</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-0.9</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二、衣着</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0.5</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三、居住</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-2.1</w:t>
            </w:r>
          </w:p>
        </w:tc>
      </w:tr>
      <w:tr>
        <w:tblPrEx>
          <w:tblCellMar>
            <w:top w:w="0" w:type="dxa"/>
            <w:left w:w="108" w:type="dxa"/>
            <w:bottom w:w="0" w:type="dxa"/>
            <w:right w:w="108" w:type="dxa"/>
          </w:tblCellMar>
        </w:tblPrEx>
        <w:trPr>
          <w:trHeight w:val="399" w:hRule="exact"/>
          <w:jc w:val="center"/>
        </w:trPr>
        <w:tc>
          <w:tcPr>
            <w:tcW w:w="3012"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四、生活用品及服务</w:t>
            </w:r>
          </w:p>
        </w:tc>
        <w:tc>
          <w:tcPr>
            <w:tcW w:w="1987" w:type="pct"/>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0.4</w:t>
            </w:r>
          </w:p>
        </w:tc>
      </w:tr>
      <w:tr>
        <w:tblPrEx>
          <w:tblCellMar>
            <w:top w:w="0" w:type="dxa"/>
            <w:left w:w="108" w:type="dxa"/>
            <w:bottom w:w="0" w:type="dxa"/>
            <w:right w:w="108" w:type="dxa"/>
          </w:tblCellMar>
        </w:tblPrEx>
        <w:trPr>
          <w:trHeight w:val="399" w:hRule="exact"/>
          <w:jc w:val="center"/>
        </w:trPr>
        <w:tc>
          <w:tcPr>
            <w:tcW w:w="3012"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五、交通和通信</w:t>
            </w:r>
          </w:p>
        </w:tc>
        <w:tc>
          <w:tcPr>
            <w:tcW w:w="1987"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4.6</w:t>
            </w:r>
          </w:p>
        </w:tc>
      </w:tr>
      <w:tr>
        <w:tblPrEx>
          <w:tblCellMar>
            <w:top w:w="0" w:type="dxa"/>
            <w:left w:w="108" w:type="dxa"/>
            <w:bottom w:w="0" w:type="dxa"/>
            <w:right w:w="108" w:type="dxa"/>
          </w:tblCellMar>
        </w:tblPrEx>
        <w:trPr>
          <w:trHeight w:val="399" w:hRule="exact"/>
          <w:jc w:val="center"/>
        </w:trPr>
        <w:tc>
          <w:tcPr>
            <w:tcW w:w="3012"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六、教育文化和娱乐</w:t>
            </w:r>
          </w:p>
        </w:tc>
        <w:tc>
          <w:tcPr>
            <w:tcW w:w="1987"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2.4</w:t>
            </w:r>
          </w:p>
        </w:tc>
      </w:tr>
      <w:tr>
        <w:tblPrEx>
          <w:tblCellMar>
            <w:top w:w="0" w:type="dxa"/>
            <w:left w:w="108" w:type="dxa"/>
            <w:bottom w:w="0" w:type="dxa"/>
            <w:right w:w="108" w:type="dxa"/>
          </w:tblCellMar>
        </w:tblPrEx>
        <w:trPr>
          <w:trHeight w:val="399" w:hRule="exact"/>
          <w:jc w:val="center"/>
        </w:trPr>
        <w:tc>
          <w:tcPr>
            <w:tcW w:w="3012"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七、医疗保健</w:t>
            </w:r>
          </w:p>
        </w:tc>
        <w:tc>
          <w:tcPr>
            <w:tcW w:w="1987"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-0.9</w:t>
            </w:r>
          </w:p>
        </w:tc>
      </w:tr>
      <w:tr>
        <w:tblPrEx>
          <w:tblCellMar>
            <w:top w:w="0" w:type="dxa"/>
            <w:left w:w="108" w:type="dxa"/>
            <w:bottom w:w="0" w:type="dxa"/>
            <w:right w:w="108" w:type="dxa"/>
          </w:tblCellMar>
        </w:tblPrEx>
        <w:trPr>
          <w:trHeight w:val="531" w:hRule="exact"/>
          <w:jc w:val="center"/>
        </w:trPr>
        <w:tc>
          <w:tcPr>
            <w:tcW w:w="3012"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八、其他用品和服务</w:t>
            </w:r>
          </w:p>
        </w:tc>
        <w:tc>
          <w:tcPr>
            <w:tcW w:w="1987"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i w:val="0"/>
                <w:color w:val="auto"/>
                <w:kern w:val="0"/>
                <w:sz w:val="28"/>
                <w:szCs w:val="28"/>
                <w:u w:val="none"/>
                <w:lang w:val="en-US" w:eastAsia="zh-CN" w:bidi="ar"/>
              </w:rPr>
              <w:t>0.3</w:t>
            </w:r>
          </w:p>
        </w:tc>
      </w:tr>
    </w:tbl>
    <w:p>
      <w:pPr>
        <w:pStyle w:val="28"/>
        <w:ind w:left="0" w:leftChars="0" w:firstLine="0" w:firstLineChars="0"/>
        <w:rPr>
          <w:rFonts w:hint="eastAsia"/>
          <w:color w:val="auto"/>
        </w:rPr>
      </w:pP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both"/>
        <w:textAlignment w:val="auto"/>
        <w:rPr>
          <w:rFonts w:hint="eastAsia" w:ascii="楷体" w:hAnsi="楷体" w:eastAsia="楷体" w:cs="楷体"/>
          <w:b w:val="0"/>
          <w:bCs/>
          <w:snapToGrid w:val="0"/>
          <w:color w:val="auto"/>
          <w:spacing w:val="20"/>
          <w:sz w:val="32"/>
          <w:szCs w:val="32"/>
        </w:rPr>
      </w:pPr>
      <w:r>
        <w:rPr>
          <w:rFonts w:hint="eastAsia" w:ascii="楷体" w:hAnsi="楷体" w:eastAsia="楷体" w:cs="楷体"/>
          <w:b w:val="0"/>
          <w:bCs/>
          <w:color w:val="auto"/>
          <w:spacing w:val="20"/>
          <w:sz w:val="32"/>
          <w:szCs w:val="32"/>
          <w:shd w:val="clear" w:color="auto" w:fill="FFFFFF"/>
        </w:rPr>
        <w:t>（五）江东新区建设</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highlight w:val="none"/>
          <w:lang w:eastAsia="zh-CN"/>
        </w:rPr>
        <w:t>2022年</w:t>
      </w:r>
      <w:r>
        <w:rPr>
          <w:rFonts w:hint="eastAsia" w:ascii="仿宋" w:hAnsi="仿宋" w:eastAsia="仿宋" w:cs="仿宋"/>
          <w:color w:val="auto"/>
          <w:sz w:val="32"/>
          <w:szCs w:val="32"/>
          <w:highlight w:val="none"/>
          <w:lang w:val="en-US" w:eastAsia="zh-CN"/>
        </w:rPr>
        <w:t>截至12月底，江东新区</w:t>
      </w:r>
      <w:r>
        <w:rPr>
          <w:rFonts w:hint="eastAsia" w:ascii="仿宋" w:hAnsi="仿宋" w:eastAsia="仿宋" w:cs="仿宋"/>
          <w:color w:val="auto"/>
          <w:sz w:val="32"/>
          <w:szCs w:val="32"/>
          <w:highlight w:val="none"/>
          <w:lang w:eastAsia="zh-CN"/>
        </w:rPr>
        <w:t>在建项目</w:t>
      </w:r>
      <w:r>
        <w:rPr>
          <w:rFonts w:hint="eastAsia" w:ascii="仿宋" w:hAnsi="仿宋" w:eastAsia="仿宋" w:cs="仿宋"/>
          <w:color w:val="auto"/>
          <w:sz w:val="32"/>
          <w:szCs w:val="32"/>
          <w:highlight w:val="none"/>
          <w:lang w:val="en-US" w:eastAsia="zh-CN"/>
        </w:rPr>
        <w:t>144</w:t>
      </w:r>
      <w:r>
        <w:rPr>
          <w:rFonts w:hint="eastAsia" w:ascii="仿宋" w:hAnsi="仿宋" w:eastAsia="仿宋" w:cs="仿宋"/>
          <w:color w:val="auto"/>
          <w:sz w:val="32"/>
          <w:szCs w:val="32"/>
          <w:highlight w:val="none"/>
          <w:lang w:eastAsia="zh-CN"/>
        </w:rPr>
        <w:t>个（政府投资</w:t>
      </w:r>
      <w:r>
        <w:rPr>
          <w:rFonts w:hint="eastAsia" w:ascii="仿宋" w:hAnsi="仿宋" w:eastAsia="仿宋" w:cs="仿宋"/>
          <w:color w:val="auto"/>
          <w:sz w:val="32"/>
          <w:szCs w:val="32"/>
          <w:highlight w:val="none"/>
          <w:lang w:val="en-US" w:eastAsia="zh-CN"/>
        </w:rPr>
        <w:t>86</w:t>
      </w:r>
      <w:r>
        <w:rPr>
          <w:rFonts w:hint="eastAsia" w:ascii="仿宋" w:hAnsi="仿宋" w:eastAsia="仿宋" w:cs="仿宋"/>
          <w:color w:val="auto"/>
          <w:sz w:val="32"/>
          <w:szCs w:val="32"/>
          <w:highlight w:val="none"/>
          <w:lang w:eastAsia="zh-CN"/>
        </w:rPr>
        <w:t>个，社会投资</w:t>
      </w:r>
      <w:r>
        <w:rPr>
          <w:rFonts w:hint="eastAsia" w:ascii="仿宋" w:hAnsi="仿宋" w:eastAsia="仿宋" w:cs="仿宋"/>
          <w:color w:val="auto"/>
          <w:sz w:val="32"/>
          <w:szCs w:val="32"/>
          <w:highlight w:val="none"/>
          <w:lang w:val="en-US" w:eastAsia="zh-CN"/>
        </w:rPr>
        <w:t>58</w:t>
      </w:r>
      <w:r>
        <w:rPr>
          <w:rFonts w:hint="eastAsia" w:ascii="仿宋" w:hAnsi="仿宋" w:eastAsia="仿宋" w:cs="仿宋"/>
          <w:color w:val="auto"/>
          <w:sz w:val="32"/>
          <w:szCs w:val="32"/>
          <w:highlight w:val="none"/>
          <w:lang w:eastAsia="zh-CN"/>
        </w:rPr>
        <w:t>个），总投资</w:t>
      </w:r>
      <w:r>
        <w:rPr>
          <w:rFonts w:hint="eastAsia" w:ascii="仿宋" w:hAnsi="仿宋" w:eastAsia="仿宋" w:cs="仿宋"/>
          <w:color w:val="auto"/>
          <w:sz w:val="32"/>
          <w:szCs w:val="32"/>
          <w:highlight w:val="none"/>
          <w:lang w:val="en-US" w:eastAsia="zh-CN"/>
        </w:rPr>
        <w:t>1219</w:t>
      </w:r>
      <w:r>
        <w:rPr>
          <w:rFonts w:hint="eastAsia" w:ascii="仿宋" w:hAnsi="仿宋" w:eastAsia="仿宋" w:cs="仿宋"/>
          <w:color w:val="auto"/>
          <w:sz w:val="32"/>
          <w:szCs w:val="32"/>
          <w:highlight w:val="none"/>
          <w:lang w:eastAsia="zh-CN"/>
        </w:rPr>
        <w:t>亿元（社会投资</w:t>
      </w:r>
      <w:r>
        <w:rPr>
          <w:rFonts w:hint="eastAsia" w:ascii="仿宋" w:hAnsi="仿宋" w:eastAsia="仿宋" w:cs="仿宋"/>
          <w:color w:val="auto"/>
          <w:sz w:val="32"/>
          <w:szCs w:val="32"/>
          <w:highlight w:val="none"/>
          <w:lang w:val="en-US" w:eastAsia="zh-CN"/>
        </w:rPr>
        <w:t>704</w:t>
      </w:r>
      <w:r>
        <w:rPr>
          <w:rFonts w:hint="eastAsia" w:ascii="仿宋" w:hAnsi="仿宋" w:eastAsia="仿宋" w:cs="仿宋"/>
          <w:color w:val="auto"/>
          <w:sz w:val="32"/>
          <w:szCs w:val="32"/>
          <w:highlight w:val="none"/>
          <w:lang w:eastAsia="zh-CN"/>
        </w:rPr>
        <w:t>亿元，政府投资</w:t>
      </w:r>
      <w:r>
        <w:rPr>
          <w:rFonts w:hint="eastAsia" w:ascii="仿宋" w:hAnsi="仿宋" w:eastAsia="仿宋" w:cs="仿宋"/>
          <w:color w:val="auto"/>
          <w:sz w:val="32"/>
          <w:szCs w:val="32"/>
          <w:highlight w:val="none"/>
          <w:lang w:val="en-US" w:eastAsia="zh-CN"/>
        </w:rPr>
        <w:t>515</w:t>
      </w:r>
      <w:r>
        <w:rPr>
          <w:rFonts w:hint="eastAsia" w:ascii="仿宋" w:hAnsi="仿宋" w:eastAsia="仿宋" w:cs="仿宋"/>
          <w:color w:val="auto"/>
          <w:sz w:val="32"/>
          <w:szCs w:val="32"/>
          <w:highlight w:val="none"/>
          <w:lang w:eastAsia="zh-CN"/>
        </w:rPr>
        <w:t>亿元）。</w:t>
      </w:r>
      <w:r>
        <w:rPr>
          <w:rFonts w:hint="eastAsia" w:ascii="仿宋" w:hAnsi="仿宋" w:eastAsia="仿宋" w:cs="仿宋"/>
          <w:color w:val="auto"/>
          <w:sz w:val="32"/>
          <w:szCs w:val="32"/>
          <w:highlight w:val="none"/>
          <w:lang w:val="en-US" w:eastAsia="zh-CN"/>
        </w:rPr>
        <w:t>机场快速路、</w:t>
      </w:r>
      <w:r>
        <w:rPr>
          <w:rFonts w:hint="eastAsia" w:ascii="仿宋" w:hAnsi="仿宋" w:eastAsia="仿宋" w:cs="仿宋"/>
          <w:color w:val="auto"/>
          <w:sz w:val="32"/>
          <w:szCs w:val="32"/>
          <w:highlight w:val="none"/>
          <w:lang w:eastAsia="zh-CN"/>
        </w:rPr>
        <w:t>产业发展配套路网（二期）、</w:t>
      </w:r>
      <w:r>
        <w:rPr>
          <w:rFonts w:hint="eastAsia" w:ascii="仿宋" w:hAnsi="仿宋" w:eastAsia="仿宋" w:cs="仿宋"/>
          <w:color w:val="auto"/>
          <w:sz w:val="32"/>
          <w:szCs w:val="32"/>
          <w:highlight w:val="none"/>
          <w:lang w:val="en-US" w:eastAsia="zh-CN"/>
        </w:rPr>
        <w:t>梧桐里安居房、海控江东广场</w:t>
      </w:r>
      <w:r>
        <w:rPr>
          <w:rFonts w:hint="eastAsia" w:ascii="仿宋" w:hAnsi="仿宋" w:eastAsia="仿宋" w:cs="仿宋"/>
          <w:color w:val="auto"/>
          <w:sz w:val="32"/>
          <w:szCs w:val="32"/>
          <w:highlight w:val="none"/>
          <w:lang w:eastAsia="zh-CN"/>
        </w:rPr>
        <w:t>等</w:t>
      </w:r>
      <w:r>
        <w:rPr>
          <w:rFonts w:hint="eastAsia" w:ascii="仿宋" w:hAnsi="仿宋" w:eastAsia="仿宋" w:cs="仿宋"/>
          <w:color w:val="auto"/>
          <w:sz w:val="32"/>
          <w:szCs w:val="32"/>
          <w:highlight w:val="none"/>
          <w:lang w:val="en-US" w:eastAsia="zh-CN"/>
        </w:rPr>
        <w:t>44</w:t>
      </w:r>
      <w:r>
        <w:rPr>
          <w:rFonts w:hint="eastAsia" w:ascii="仿宋" w:hAnsi="仿宋" w:eastAsia="仿宋" w:cs="仿宋"/>
          <w:color w:val="auto"/>
          <w:sz w:val="32"/>
          <w:szCs w:val="32"/>
          <w:highlight w:val="none"/>
          <w:lang w:eastAsia="zh-CN"/>
        </w:rPr>
        <w:t>个项目开工；实现江东新区国际社区周边配套路网、江东寰岛实验学校、金域仕家安居房等</w:t>
      </w:r>
      <w:r>
        <w:rPr>
          <w:rFonts w:hint="eastAsia" w:ascii="仿宋" w:hAnsi="仿宋" w:eastAsia="仿宋" w:cs="仿宋"/>
          <w:color w:val="auto"/>
          <w:sz w:val="32"/>
          <w:szCs w:val="32"/>
          <w:highlight w:val="none"/>
          <w:lang w:val="en-US" w:eastAsia="zh-CN"/>
        </w:rPr>
        <w:t>26</w:t>
      </w:r>
      <w:r>
        <w:rPr>
          <w:rFonts w:hint="eastAsia" w:ascii="仿宋" w:hAnsi="仿宋" w:eastAsia="仿宋" w:cs="仿宋"/>
          <w:color w:val="auto"/>
          <w:sz w:val="32"/>
          <w:szCs w:val="32"/>
          <w:highlight w:val="none"/>
          <w:lang w:eastAsia="zh-CN"/>
        </w:rPr>
        <w:t>个项目完工。总部经济功能凸显。总部经济区累计招引离岸贸易、大宗商品贸易、服务贸易和金融类总部企业67家。CBD区域形象初现，已开工项目</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lang w:eastAsia="zh-CN"/>
        </w:rPr>
        <w:t>个</w:t>
      </w:r>
      <w:r>
        <w:rPr>
          <w:rFonts w:hint="eastAsia" w:ascii="仿宋" w:hAnsi="仿宋" w:eastAsia="仿宋" w:cs="仿宋"/>
          <w:color w:val="auto"/>
          <w:sz w:val="32"/>
          <w:szCs w:val="32"/>
          <w:lang w:eastAsia="zh-CN"/>
        </w:rPr>
        <w:t>，海南能源交易大厦、海口金融中心完工。确立了“跨境金融+产业金融+外向金融”的新金融产业体系，重点发展保险、证券、贸易金融和私募基金（QFLP/QDLP）等细分领域，累计招引企业118家。临空经济累计招引航空运输、跨境电商、仓储物流、航空租赁、航空维修等领域企业47家。利用QFLP/QDLP链接国内外资金及项目的优势，吸引外资项目落地，提速重点片区开发建设，切实把政策优势转化为发展优势，江东新区建设发展进一步提质增速。</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二、人民生活和民生事业</w:t>
      </w:r>
    </w:p>
    <w:p>
      <w:pPr>
        <w:keepNext w:val="0"/>
        <w:keepLines w:val="0"/>
        <w:pageBreakBefore w:val="0"/>
        <w:widowControl/>
        <w:kinsoku/>
        <w:wordWrap/>
        <w:overflowPunct/>
        <w:topLinePunct w:val="0"/>
        <w:autoSpaceDE/>
        <w:autoSpaceDN/>
        <w:bidi w:val="0"/>
        <w:adjustRightInd/>
        <w:snapToGrid/>
        <w:spacing w:line="540" w:lineRule="exact"/>
        <w:ind w:firstLine="720" w:firstLineChars="200"/>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（一）居民收入</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2022年,海口市居民人均可支配收入38361元,较上年增长0.6%。其中人均工资性收入25244元,增长1.4%;人均经营净收入4810元,下降1.0%;人均财产净收入3171元,下降4.4%;人均转移净收入5136元,增长1.5%。</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城镇居民人均可支配收入43535元,较上年下降0.2%。其中人均工资性收入29406元,增长1.1%;人均经营净收入4327元,下降5.5%;人均财产净收入3856元,下降4.9%;人均转移净收入5946元,增长1.0%。</w:t>
      </w:r>
    </w:p>
    <w:p>
      <w:pPr>
        <w:pStyle w:val="2"/>
        <w:rPr>
          <w:rFonts w:hint="eastAsia"/>
        </w:rPr>
      </w:pPr>
    </w:p>
    <w:p>
      <w:pPr>
        <w:widowControl w:val="0"/>
        <w:jc w:val="center"/>
        <w:rPr>
          <w:rFonts w:hint="eastAsia" w:ascii="仿宋" w:hAnsi="仿宋" w:eastAsia="仿宋" w:cs="仿宋"/>
          <w:color w:val="auto"/>
          <w:spacing w:val="20"/>
          <w:sz w:val="28"/>
          <w:szCs w:val="28"/>
          <w:shd w:val="clear" w:color="auto" w:fill="FFFFFF"/>
        </w:rPr>
      </w:pPr>
      <w:r>
        <w:rPr>
          <w:color w:val="auto"/>
        </w:rPr>
        <w:drawing>
          <wp:inline distT="0" distB="0" distL="114300" distR="114300">
            <wp:extent cx="4896485" cy="3001645"/>
            <wp:effectExtent l="0" t="0" r="18415" b="82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农村居民人均可支配收入20388元,比上年增长5.8%。其中人均工资性收入10786元,增长3.1%;人均经营净收入6487元,增长11.5%;人均财产净收入793元,增长2.9%;人均转移净收入2322元,增长4.8%。</w:t>
      </w:r>
    </w:p>
    <w:p>
      <w:pPr>
        <w:pStyle w:val="2"/>
        <w:rPr>
          <w:rFonts w:hint="eastAsia"/>
        </w:rPr>
      </w:pPr>
    </w:p>
    <w:p>
      <w:pPr>
        <w:widowControl w:val="0"/>
        <w:jc w:val="center"/>
        <w:rPr>
          <w:rFonts w:hint="eastAsia" w:ascii="仿宋" w:hAnsi="仿宋" w:eastAsia="仿宋" w:cs="仿宋"/>
          <w:b/>
          <w:color w:val="auto"/>
          <w:spacing w:val="20"/>
          <w:sz w:val="28"/>
          <w:szCs w:val="28"/>
          <w:shd w:val="clear" w:color="auto" w:fill="FFFFFF"/>
        </w:rPr>
      </w:pPr>
      <w:r>
        <w:drawing>
          <wp:inline distT="0" distB="0" distL="114300" distR="114300">
            <wp:extent cx="4949825" cy="2486660"/>
            <wp:effectExtent l="0" t="0" r="3175" b="8890"/>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（二）社会保障和就业</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全市城镇职工基本养老保险参保118.56万人、城乡居民基本医疗保险参保105.78万人、工伤保险参保72.02万人、失业保险67.74万人，各险种分别完成年任务的102.8%、100.35%、100.2%、104%；城乡居民基本养老保险扩面参保缴费24818人，完成年任务23042人的107.71%。精准实施助企纾困政策，全市已缓缴社会保险费2.24亿元、缓缴医疗保险费3017.19万元、减免工伤和失业保险费2.60亿元、发放应届高校毕业生一次性扩岗补助206.2万元。已审核发放34900家企业稳岗返还资金14092.78万元，惠及职工315350人，有力支持市场主体稳岗扩岗。</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持续扩大社保卡一卡通应用范围，实现通过社保卡办理住房公积金业务和酒店住宿登记应用，在全市推出2022年“社会保障卡1分钱乘公交”优惠活动。截至12月底，海口市新增制发社保卡10.5万张，累计制发社保卡189.09万张，累计签发电子社保卡147.92万张，电子社保卡人口覆盖率达到66.36%。</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b/>
          <w:color w:val="auto"/>
          <w:spacing w:val="20"/>
          <w:sz w:val="28"/>
          <w:szCs w:val="28"/>
          <w:shd w:val="clear" w:color="auto" w:fill="FFFFFF"/>
        </w:rPr>
      </w:pPr>
      <w:r>
        <w:rPr>
          <w:rFonts w:hint="eastAsia" w:ascii="仿宋" w:hAnsi="仿宋" w:eastAsia="仿宋" w:cs="仿宋"/>
          <w:color w:val="auto"/>
          <w:spacing w:val="20"/>
          <w:sz w:val="32"/>
          <w:szCs w:val="32"/>
          <w:shd w:val="clear" w:color="auto" w:fill="FFFFFF"/>
          <w:lang w:eastAsia="zh-CN"/>
        </w:rPr>
        <w:t>就业创业持续推进。2022年,全市城镇新增就业人员53357人，完成年任务46000人的116%；就业困难对象实现就业4397人，完成年任务2800人的157%；转移农村富余劳动力就业7842人，完成年任务7000人的112%；农村劳动力外出务工25.2万人（2022年“海南智慧就业”系统提取峰值数据），完成年任务20.9人的120.57%。</w:t>
      </w:r>
    </w:p>
    <w:p>
      <w:pPr>
        <w:keepNext w:val="0"/>
        <w:keepLines w:val="0"/>
        <w:pageBreakBefore w:val="0"/>
        <w:widowControl/>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（三）</w:t>
      </w:r>
      <w:r>
        <w:rPr>
          <w:rFonts w:hint="eastAsia" w:ascii="楷体" w:hAnsi="楷体" w:eastAsia="楷体" w:cs="楷体"/>
          <w:b w:val="0"/>
          <w:bCs/>
          <w:color w:val="auto"/>
          <w:spacing w:val="20"/>
          <w:sz w:val="32"/>
          <w:szCs w:val="32"/>
          <w:shd w:val="clear" w:color="auto" w:fill="FFFFFF"/>
        </w:rPr>
        <w:t>教育</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lang w:eastAsia="zh-CN"/>
        </w:rPr>
        <w:t>2022年，我市深化学前教育“两个比例”成果，公办学位占比保持52.3%，普惠园总学位占比保持82.9%。义务教育阶段建档立卡脱贫家庭学生辍学实现了动态清零。实施职业教育多样化发展，对接自贸港建设人才发展需要，为市属10所中职学校量身定做，为海口旅游职业学校等4所学校增加12个专业，新增530个学位，较好实现中高职贯通、优质专业就读的办学目标。海口地区共有普通高等教育学校12所，广播电视大学1所，在办中等职业学校24所，普通中学103所，普通小学138所，在办幼儿园563所，特殊教育学校4所。研究生招生5216人，在校生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46万人，毕业生2985人；普通高校本专科招生5</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50万人，在校生17</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46万人，毕业生4</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56万人；成人本专科招生1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08万人，在校生2</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7</w:t>
      </w:r>
      <w:r>
        <w:rPr>
          <w:rFonts w:hint="eastAsia" w:ascii="仿宋" w:hAnsi="仿宋" w:eastAsia="仿宋" w:cs="仿宋"/>
          <w:color w:val="auto"/>
          <w:spacing w:val="20"/>
          <w:sz w:val="32"/>
          <w:szCs w:val="32"/>
          <w:shd w:val="clear" w:color="auto" w:fill="FFFFFF"/>
          <w:lang w:val="en-US" w:eastAsia="zh-CN"/>
        </w:rPr>
        <w:t>8万</w:t>
      </w:r>
      <w:r>
        <w:rPr>
          <w:rFonts w:hint="eastAsia" w:ascii="仿宋" w:hAnsi="仿宋" w:eastAsia="仿宋" w:cs="仿宋"/>
          <w:color w:val="auto"/>
          <w:spacing w:val="20"/>
          <w:sz w:val="32"/>
          <w:szCs w:val="32"/>
          <w:shd w:val="clear" w:color="auto" w:fill="FFFFFF"/>
          <w:lang w:eastAsia="zh-CN"/>
        </w:rPr>
        <w:t>人，毕业生7802人；中等职业学校招生2</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8</w:t>
      </w:r>
      <w:r>
        <w:rPr>
          <w:rFonts w:hint="eastAsia" w:ascii="仿宋" w:hAnsi="仿宋" w:eastAsia="仿宋" w:cs="仿宋"/>
          <w:color w:val="auto"/>
          <w:spacing w:val="20"/>
          <w:sz w:val="32"/>
          <w:szCs w:val="32"/>
          <w:shd w:val="clear" w:color="auto" w:fill="FFFFFF"/>
          <w:lang w:val="en-US" w:eastAsia="zh-CN"/>
        </w:rPr>
        <w:t>7万</w:t>
      </w:r>
      <w:r>
        <w:rPr>
          <w:rFonts w:hint="eastAsia" w:ascii="仿宋" w:hAnsi="仿宋" w:eastAsia="仿宋" w:cs="仿宋"/>
          <w:color w:val="auto"/>
          <w:spacing w:val="20"/>
          <w:sz w:val="32"/>
          <w:szCs w:val="32"/>
          <w:shd w:val="clear" w:color="auto" w:fill="FFFFFF"/>
          <w:lang w:eastAsia="zh-CN"/>
        </w:rPr>
        <w:t>人，在校生7</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76万人，毕业生2</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2</w:t>
      </w:r>
      <w:r>
        <w:rPr>
          <w:rFonts w:hint="eastAsia" w:ascii="仿宋" w:hAnsi="仿宋" w:eastAsia="仿宋" w:cs="仿宋"/>
          <w:color w:val="auto"/>
          <w:spacing w:val="20"/>
          <w:sz w:val="32"/>
          <w:szCs w:val="32"/>
          <w:shd w:val="clear" w:color="auto" w:fill="FFFFFF"/>
          <w:lang w:val="en-US" w:eastAsia="zh-CN"/>
        </w:rPr>
        <w:t>1万</w:t>
      </w:r>
      <w:r>
        <w:rPr>
          <w:rFonts w:hint="eastAsia" w:ascii="仿宋" w:hAnsi="仿宋" w:eastAsia="仿宋" w:cs="仿宋"/>
          <w:color w:val="auto"/>
          <w:spacing w:val="20"/>
          <w:sz w:val="32"/>
          <w:szCs w:val="32"/>
          <w:shd w:val="clear" w:color="auto" w:fill="FFFFFF"/>
          <w:lang w:eastAsia="zh-CN"/>
        </w:rPr>
        <w:t>人；普通高中招生2</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1</w:t>
      </w:r>
      <w:r>
        <w:rPr>
          <w:rFonts w:hint="eastAsia" w:ascii="仿宋" w:hAnsi="仿宋" w:eastAsia="仿宋" w:cs="仿宋"/>
          <w:color w:val="auto"/>
          <w:spacing w:val="20"/>
          <w:sz w:val="32"/>
          <w:szCs w:val="32"/>
          <w:shd w:val="clear" w:color="auto" w:fill="FFFFFF"/>
          <w:lang w:val="en-US" w:eastAsia="zh-CN"/>
        </w:rPr>
        <w:t>4万</w:t>
      </w:r>
      <w:r>
        <w:rPr>
          <w:rFonts w:hint="eastAsia" w:ascii="仿宋" w:hAnsi="仿宋" w:eastAsia="仿宋" w:cs="仿宋"/>
          <w:color w:val="auto"/>
          <w:spacing w:val="20"/>
          <w:sz w:val="32"/>
          <w:szCs w:val="32"/>
          <w:shd w:val="clear" w:color="auto" w:fill="FFFFFF"/>
          <w:lang w:eastAsia="zh-CN"/>
        </w:rPr>
        <w:t>人，在校生6</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10万人，毕业生1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69万人；普通初中招生3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62万人，在校生10</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63万人，毕业生3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1</w:t>
      </w:r>
      <w:r>
        <w:rPr>
          <w:rFonts w:hint="eastAsia" w:ascii="仿宋" w:hAnsi="仿宋" w:eastAsia="仿宋" w:cs="仿宋"/>
          <w:color w:val="auto"/>
          <w:spacing w:val="20"/>
          <w:sz w:val="32"/>
          <w:szCs w:val="32"/>
          <w:shd w:val="clear" w:color="auto" w:fill="FFFFFF"/>
          <w:lang w:val="en-US" w:eastAsia="zh-CN"/>
        </w:rPr>
        <w:t>1万</w:t>
      </w:r>
      <w:r>
        <w:rPr>
          <w:rFonts w:hint="eastAsia" w:ascii="仿宋" w:hAnsi="仿宋" w:eastAsia="仿宋" w:cs="仿宋"/>
          <w:color w:val="auto"/>
          <w:spacing w:val="20"/>
          <w:sz w:val="32"/>
          <w:szCs w:val="32"/>
          <w:shd w:val="clear" w:color="auto" w:fill="FFFFFF"/>
          <w:lang w:eastAsia="zh-CN"/>
        </w:rPr>
        <w:t>人；普通小学招生4</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0</w:t>
      </w:r>
      <w:r>
        <w:rPr>
          <w:rFonts w:hint="eastAsia" w:ascii="仿宋" w:hAnsi="仿宋" w:eastAsia="仿宋" w:cs="仿宋"/>
          <w:color w:val="auto"/>
          <w:spacing w:val="20"/>
          <w:sz w:val="32"/>
          <w:szCs w:val="32"/>
          <w:shd w:val="clear" w:color="auto" w:fill="FFFFFF"/>
          <w:lang w:val="en-US" w:eastAsia="zh-CN"/>
        </w:rPr>
        <w:t>3万</w:t>
      </w:r>
      <w:r>
        <w:rPr>
          <w:rFonts w:hint="eastAsia" w:ascii="仿宋" w:hAnsi="仿宋" w:eastAsia="仿宋" w:cs="仿宋"/>
          <w:color w:val="auto"/>
          <w:spacing w:val="20"/>
          <w:sz w:val="32"/>
          <w:szCs w:val="32"/>
          <w:shd w:val="clear" w:color="auto" w:fill="FFFFFF"/>
          <w:lang w:eastAsia="zh-CN"/>
        </w:rPr>
        <w:t>人，在校生24</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16万人，毕业生3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44万人；学前教育招生3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6</w:t>
      </w:r>
      <w:r>
        <w:rPr>
          <w:rFonts w:hint="eastAsia" w:ascii="仿宋" w:hAnsi="仿宋" w:eastAsia="仿宋" w:cs="仿宋"/>
          <w:color w:val="auto"/>
          <w:spacing w:val="20"/>
          <w:sz w:val="32"/>
          <w:szCs w:val="32"/>
          <w:shd w:val="clear" w:color="auto" w:fill="FFFFFF"/>
          <w:lang w:val="en-US" w:eastAsia="zh-CN"/>
        </w:rPr>
        <w:t>3万</w:t>
      </w:r>
      <w:r>
        <w:rPr>
          <w:rFonts w:hint="eastAsia" w:ascii="仿宋" w:hAnsi="仿宋" w:eastAsia="仿宋" w:cs="仿宋"/>
          <w:color w:val="auto"/>
          <w:spacing w:val="20"/>
          <w:sz w:val="32"/>
          <w:szCs w:val="32"/>
          <w:shd w:val="clear" w:color="auto" w:fill="FFFFFF"/>
          <w:lang w:eastAsia="zh-CN"/>
        </w:rPr>
        <w:t>人，在校生11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4</w:t>
      </w:r>
      <w:r>
        <w:rPr>
          <w:rFonts w:hint="eastAsia" w:ascii="仿宋" w:hAnsi="仿宋" w:eastAsia="仿宋" w:cs="仿宋"/>
          <w:color w:val="auto"/>
          <w:spacing w:val="20"/>
          <w:sz w:val="32"/>
          <w:szCs w:val="32"/>
          <w:shd w:val="clear" w:color="auto" w:fill="FFFFFF"/>
          <w:lang w:val="en-US" w:eastAsia="zh-CN"/>
        </w:rPr>
        <w:t>6万</w:t>
      </w:r>
      <w:r>
        <w:rPr>
          <w:rFonts w:hint="eastAsia" w:ascii="仿宋" w:hAnsi="仿宋" w:eastAsia="仿宋" w:cs="仿宋"/>
          <w:color w:val="auto"/>
          <w:spacing w:val="20"/>
          <w:sz w:val="32"/>
          <w:szCs w:val="32"/>
          <w:shd w:val="clear" w:color="auto" w:fill="FFFFFF"/>
          <w:lang w:eastAsia="zh-CN"/>
        </w:rPr>
        <w:t>人，毕业生3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lang w:eastAsia="zh-CN"/>
        </w:rPr>
        <w:t>51万人；特殊教育招生189人，在校生737人，毕业生174人。初中毛入学率为103.82%，小学毛入学率为101.97%。</w:t>
      </w:r>
    </w:p>
    <w:p>
      <w:pPr>
        <w:keepNext w:val="0"/>
        <w:keepLines w:val="0"/>
        <w:pageBreakBefore w:val="0"/>
        <w:widowControl/>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（四）医疗卫生</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2022年，坚持“外防输入、内防反弹”总策略和“动态清零”总方针，全面打赢疫情阻击战，4起疫情处置均快速实现7天清零。防控政策优化调整后，</w:t>
      </w:r>
      <w:bookmarkStart w:id="0" w:name="_GoBack"/>
      <w:bookmarkEnd w:id="0"/>
      <w:r>
        <w:rPr>
          <w:rFonts w:hint="eastAsia" w:ascii="仿宋" w:hAnsi="仿宋" w:eastAsia="仿宋" w:cs="仿宋"/>
          <w:color w:val="auto"/>
          <w:spacing w:val="20"/>
          <w:sz w:val="32"/>
          <w:szCs w:val="32"/>
          <w:shd w:val="clear" w:color="auto" w:fill="FFFFFF"/>
          <w:lang w:val="en-US" w:eastAsia="zh-CN" w:bidi="ar-SA"/>
        </w:rPr>
        <w:t>及时把工作重心从防感染转到保健康、防重症上，精准配置医疗资源，推动防控措施调整转段渡峰平稳有序。组建城市医疗集团，按频次下沉帮扶基层医疗机构，提升基层医疗服务能力。大力推进基层医疗卫生机构激励机制改革，建立“多劳多得，优绩优酬”机制，进一步提高基层医务人员收入。持续推进市妇幼保健医院江东院区、市国际中医中心、市第四人民医院新院二期、海口骨科与糖尿病医院建设改造、市第三人民医院江东院区等市级医疗卫生重点项目建设。进一步优化省会城市公立医院布局，加快公立医院服务范围从主城区向江东新区、观澜湖片区、西海岸片区覆盖，扩大优质医疗资源辐射效能，提高医疗服务质量，积极构建与海南自贸港相适应的省会城市医疗卫生服务体系。2022年全市（省、市、区属各单位）共有各级各类医疗卫生机构1480个。其中，医院80个（专科精神病医院4个），社区卫生服务中心（站）122个，卫生院26个，村卫生室264个，门诊部185个，诊所、卫生所、医务室761个，疾控预防控制中心6个，专科疾病防治院（所、站）2个，健康教育机构6个，妇幼保健院（所、站）7个，急救中心（站）3个，采供血机构1个，计划生育技术服务机构5个，其他卫生机构12个。共有卫生技术人员32815人。其中，执业（助理）医师11782人，注册护士16484人。共有医疗卫生机构床位数20058张。其中，医院床位17870张，妇幼保健院（所、站）1077张，社区卫生服务中心（站）718张，乡镇卫生院床位300张。</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（五）乡村振兴</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健全落实防止返贫致贫动态监测帮扶工作机制，落实早发现、早干预、早帮扶“三早”机制，扎实开展例行监测、定期监测、大排查等一系列风险监测排查，落实防贫综合保险参保，全市参保人数共568081人，其中重点人群9709人，有效防范返贫致贫风险。实施脱贫家庭义务教育适龄人口100%入学，深入推进“区镇一体、镇村一体”机制建设，基层医疗卫生机构服务能力得到提升。脱贫群众内生动力得到进一步激发，一部分脱贫户自己脱贫后，积极回馈社会，成为脱贫致富带头人，带动周边村脱贫户一起走上脱贫致富路。持续优化完善农村供水工程体系，农村饮水安全得到更有效保障。农业生产废弃物回收率、秸秆综合利用率和厕所粪污资源化利用率明显提高。我市成为农村黑臭水体治理试点城市。</w:t>
      </w:r>
    </w:p>
    <w:p>
      <w:pPr>
        <w:keepNext w:val="0"/>
        <w:keepLines w:val="0"/>
        <w:pageBreakBefore w:val="0"/>
        <w:widowControl/>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（六）安全生产</w:t>
      </w:r>
    </w:p>
    <w:p>
      <w:pPr>
        <w:keepNext w:val="0"/>
        <w:keepLines w:val="0"/>
        <w:pageBreakBefore w:val="0"/>
        <w:widowControl/>
        <w:numPr>
          <w:ilvl w:val="0"/>
          <w:numId w:val="0"/>
        </w:numPr>
        <w:kinsoku/>
        <w:wordWrap/>
        <w:overflowPunct/>
        <w:topLinePunct w:val="0"/>
        <w:autoSpaceDE/>
        <w:autoSpaceDN/>
        <w:bidi w:val="0"/>
        <w:adjustRightInd/>
        <w:snapToGrid/>
        <w:spacing w:line="556" w:lineRule="exact"/>
        <w:ind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2022年度，生产安全事故起数和死亡人数与2021年同比实现“双下降”。全市发生生产安全事故（以录入生产安全事故统计信息直报系统为准）43起、43人，与2021年同比减少8起、4人，分别下降15.7%、8.5%。</w:t>
      </w:r>
    </w:p>
    <w:p>
      <w:pPr>
        <w:keepNext w:val="0"/>
        <w:keepLines w:val="0"/>
        <w:pageBreakBefore w:val="0"/>
        <w:widowControl/>
        <w:numPr>
          <w:ilvl w:val="0"/>
          <w:numId w:val="0"/>
        </w:numPr>
        <w:kinsoku/>
        <w:wordWrap/>
        <w:overflowPunct/>
        <w:topLinePunct w:val="0"/>
        <w:autoSpaceDE/>
        <w:autoSpaceDN/>
        <w:bidi w:val="0"/>
        <w:adjustRightInd/>
        <w:snapToGrid/>
        <w:spacing w:line="556" w:lineRule="exact"/>
        <w:ind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lang w:eastAsia="zh-CN"/>
        </w:rPr>
        <w:t>三、</w:t>
      </w:r>
      <w:r>
        <w:rPr>
          <w:rFonts w:hint="eastAsia" w:ascii="黑体" w:hAnsi="黑体" w:eastAsia="黑体" w:cs="黑体"/>
          <w:b w:val="0"/>
          <w:bCs/>
          <w:color w:val="auto"/>
          <w:spacing w:val="20"/>
          <w:sz w:val="32"/>
          <w:szCs w:val="32"/>
          <w:shd w:val="clear" w:color="auto" w:fill="FFFFFF"/>
        </w:rPr>
        <w:t>国民经济各行业</w:t>
      </w:r>
    </w:p>
    <w:p>
      <w:pPr>
        <w:keepNext w:val="0"/>
        <w:keepLines w:val="0"/>
        <w:pageBreakBefore w:val="0"/>
        <w:widowControl/>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（一）农林牧渔业</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2022年，全市实现农林牧渔业产值164.3亿元，比上年增长6.0%。其中，种植业95.4亿元，增长1.8%；畜牧业38.3亿元，增长26.2%；林业7.5亿元，增长5.2%；渔业12.4亿元，下降1.1%；农林牧渔服务业10.7亿元，增长8.7%。</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全年农作物总播种面积92.97万亩，比上年增长3.3%。粮食播种面积29.9万亩，比上年增长0.01%。油料播种面积4.13万亩，下降3.1%。蔬菜播种面积万41.2万亩，增长9.1%。水果种植面积28.4万亩，增长6.2%。橡胶种植面积7.44万亩，增长41.8%。胡椒种植面积4.65万亩，增长1.5%。</w:t>
      </w:r>
    </w:p>
    <w:p>
      <w:pPr>
        <w:keepNext w:val="0"/>
        <w:keepLines w:val="0"/>
        <w:pageBreakBefore w:val="0"/>
        <w:widowControl w:val="0"/>
        <w:kinsoku/>
        <w:wordWrap/>
        <w:overflowPunct/>
        <w:topLinePunct w:val="0"/>
        <w:autoSpaceDE/>
        <w:autoSpaceDN/>
        <w:bidi w:val="0"/>
        <w:adjustRightInd/>
        <w:snapToGrid/>
        <w:spacing w:line="556"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全年粮食总产量达10.26万吨，比上年增长0.2%；油料作物产量0.54万吨，下降8.3%；水果产量26.02万吨，增长7.1%；蔬菜产量55.97万吨，增长11.3%；水产品产量5.16万吨，增长1.8%。畜牧业生产止降为升。生猪出栏量61.8万头，同比增长56.8%；猪肉产量</w:t>
      </w:r>
      <w:r>
        <w:rPr>
          <w:rFonts w:hint="eastAsia" w:ascii="仿宋" w:hAnsi="仿宋" w:eastAsia="仿宋" w:cs="仿宋"/>
          <w:color w:val="auto"/>
          <w:spacing w:val="20"/>
          <w:sz w:val="32"/>
          <w:szCs w:val="32"/>
          <w:shd w:val="clear" w:color="auto" w:fill="FFFFFF"/>
          <w:lang w:val="en-US" w:eastAsia="zh-CN"/>
        </w:rPr>
        <w:t>5.49</w:t>
      </w:r>
      <w:r>
        <w:rPr>
          <w:rFonts w:hint="eastAsia" w:ascii="仿宋" w:hAnsi="仿宋" w:eastAsia="仿宋" w:cs="仿宋"/>
          <w:color w:val="auto"/>
          <w:spacing w:val="20"/>
          <w:sz w:val="32"/>
          <w:szCs w:val="32"/>
          <w:shd w:val="clear" w:color="auto" w:fill="FFFFFF"/>
          <w:lang w:eastAsia="zh-CN"/>
        </w:rPr>
        <w:t>万吨，同比增长</w:t>
      </w:r>
      <w:r>
        <w:rPr>
          <w:rFonts w:hint="eastAsia" w:ascii="仿宋" w:hAnsi="仿宋" w:eastAsia="仿宋" w:cs="仿宋"/>
          <w:color w:val="auto"/>
          <w:spacing w:val="20"/>
          <w:sz w:val="32"/>
          <w:szCs w:val="32"/>
          <w:shd w:val="clear" w:color="auto" w:fill="FFFFFF"/>
          <w:lang w:val="en-US" w:eastAsia="zh-CN"/>
        </w:rPr>
        <w:t>62.4</w:t>
      </w:r>
      <w:r>
        <w:rPr>
          <w:rFonts w:hint="eastAsia" w:ascii="仿宋" w:hAnsi="仿宋" w:eastAsia="仿宋" w:cs="仿宋"/>
          <w:color w:val="auto"/>
          <w:spacing w:val="20"/>
          <w:sz w:val="32"/>
          <w:szCs w:val="32"/>
          <w:shd w:val="clear" w:color="auto" w:fill="FFFFFF"/>
          <w:lang w:eastAsia="zh-CN"/>
        </w:rPr>
        <w:t>%。牛出栏1.55万头、羊出栏7.06万只，分别增长2.2%和增长2.7%。</w:t>
      </w:r>
    </w:p>
    <w:p>
      <w:pPr>
        <w:keepNext w:val="0"/>
        <w:keepLines w:val="0"/>
        <w:pageBreakBefore w:val="0"/>
        <w:widowControl/>
        <w:kinsoku/>
        <w:wordWrap/>
        <w:overflowPunct/>
        <w:topLinePunct w:val="0"/>
        <w:autoSpaceDE/>
        <w:autoSpaceDN/>
        <w:bidi w:val="0"/>
        <w:adjustRightInd/>
        <w:snapToGrid/>
        <w:spacing w:before="157" w:beforeLines="50"/>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表</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：2022年</w:t>
      </w:r>
      <w:r>
        <w:rPr>
          <w:rFonts w:hint="eastAsia" w:ascii="仿宋" w:hAnsi="仿宋" w:eastAsia="仿宋" w:cs="仿宋"/>
          <w:color w:val="auto"/>
          <w:sz w:val="28"/>
          <w:szCs w:val="28"/>
        </w:rPr>
        <w:t>主要农产品产量及增长速度</w:t>
      </w:r>
    </w:p>
    <w:tbl>
      <w:tblPr>
        <w:tblStyle w:val="23"/>
        <w:tblW w:w="7437" w:type="dxa"/>
        <w:jc w:val="center"/>
        <w:tblLayout w:type="fixed"/>
        <w:tblCellMar>
          <w:top w:w="0" w:type="dxa"/>
          <w:left w:w="108" w:type="dxa"/>
          <w:bottom w:w="0" w:type="dxa"/>
          <w:right w:w="108" w:type="dxa"/>
        </w:tblCellMar>
      </w:tblPr>
      <w:tblGrid>
        <w:gridCol w:w="1546"/>
        <w:gridCol w:w="1060"/>
        <w:gridCol w:w="2489"/>
        <w:gridCol w:w="2342"/>
      </w:tblGrid>
      <w:tr>
        <w:tblPrEx>
          <w:tblCellMar>
            <w:top w:w="0" w:type="dxa"/>
            <w:left w:w="108" w:type="dxa"/>
            <w:bottom w:w="0" w:type="dxa"/>
            <w:right w:w="108" w:type="dxa"/>
          </w:tblCellMar>
        </w:tblPrEx>
        <w:trPr>
          <w:trHeight w:val="510" w:hRule="exact"/>
          <w:jc w:val="center"/>
        </w:trPr>
        <w:tc>
          <w:tcPr>
            <w:tcW w:w="1546"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产品名称</w:t>
            </w:r>
          </w:p>
        </w:tc>
        <w:tc>
          <w:tcPr>
            <w:tcW w:w="1060"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w:t>
            </w:r>
          </w:p>
        </w:tc>
        <w:tc>
          <w:tcPr>
            <w:tcW w:w="2489"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产量</w:t>
            </w:r>
          </w:p>
        </w:tc>
        <w:tc>
          <w:tcPr>
            <w:tcW w:w="2342" w:type="dxa"/>
            <w:tcBorders>
              <w:top w:val="single" w:color="000000" w:sz="8" w:space="0"/>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比上</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rPr>
              <w:t>增长（%）</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早稻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4.6</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6.4</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晚稻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4.0</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-4.7</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油料</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0.54</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-8.3</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花生</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0.48</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-9.9</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水果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pacing w:val="20"/>
                <w:sz w:val="28"/>
                <w:szCs w:val="28"/>
                <w:shd w:val="clear" w:color="auto" w:fill="FFFFFF"/>
                <w:lang w:val="en-US" w:eastAsia="zh-CN"/>
              </w:rPr>
              <w:t>26.02</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7.1</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蔬菜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55.97</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11.3</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橡胶</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0.42</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14</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胡椒</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0.46</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-16</w:t>
            </w:r>
          </w:p>
        </w:tc>
      </w:tr>
    </w:tbl>
    <w:p>
      <w:pPr>
        <w:ind w:left="0" w:leftChars="0"/>
        <w:jc w:val="center"/>
        <w:rPr>
          <w:rFonts w:hint="eastAsia" w:ascii="仿宋" w:hAnsi="仿宋" w:eastAsia="仿宋" w:cs="仿宋"/>
          <w:b/>
          <w:color w:val="auto"/>
          <w:spacing w:val="20"/>
          <w:sz w:val="28"/>
          <w:szCs w:val="28"/>
          <w:shd w:val="clear" w:color="auto" w:fill="FFFFFF"/>
        </w:rPr>
      </w:pPr>
    </w:p>
    <w:p>
      <w:pPr>
        <w:pStyle w:val="2"/>
        <w:jc w:val="center"/>
        <w:rPr>
          <w:rFonts w:hint="eastAsia"/>
          <w:color w:val="auto"/>
        </w:rPr>
      </w:pPr>
      <w:r>
        <w:rPr>
          <w:color w:val="auto"/>
        </w:rPr>
        <w:drawing>
          <wp:inline distT="0" distB="0" distL="114300" distR="114300">
            <wp:extent cx="4372610" cy="2200275"/>
            <wp:effectExtent l="4445" t="4445" r="23495" b="508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（二）工业和建筑业</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b w:val="0"/>
          <w:bCs/>
          <w:color w:val="auto"/>
          <w:spacing w:val="20"/>
          <w:sz w:val="32"/>
          <w:szCs w:val="32"/>
          <w:shd w:val="clear" w:color="auto" w:fill="FFFFFF"/>
          <w:lang w:eastAsia="zh-CN"/>
        </w:rPr>
      </w:pPr>
      <w:r>
        <w:rPr>
          <w:rFonts w:hint="eastAsia" w:ascii="仿宋" w:hAnsi="仿宋" w:eastAsia="仿宋" w:cs="仿宋"/>
          <w:b w:val="0"/>
          <w:bCs/>
          <w:color w:val="auto"/>
          <w:spacing w:val="20"/>
          <w:sz w:val="32"/>
          <w:szCs w:val="32"/>
          <w:shd w:val="clear" w:color="auto" w:fill="FFFFFF"/>
        </w:rPr>
        <w:t>1.工业</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2022年，我市工业经济整体稳步增长，全市规模以上工业企业有19</w:t>
      </w:r>
      <w:r>
        <w:rPr>
          <w:rFonts w:hint="eastAsia" w:ascii="仿宋" w:hAnsi="仿宋" w:eastAsia="仿宋" w:cs="仿宋"/>
          <w:color w:val="auto"/>
          <w:spacing w:val="20"/>
          <w:sz w:val="32"/>
          <w:szCs w:val="32"/>
          <w:shd w:val="clear" w:color="auto" w:fill="FFFFFF"/>
          <w:lang w:val="en-US" w:eastAsia="zh-CN"/>
        </w:rPr>
        <w:t>6</w:t>
      </w:r>
      <w:r>
        <w:rPr>
          <w:rFonts w:hint="eastAsia" w:ascii="仿宋" w:hAnsi="仿宋" w:eastAsia="仿宋" w:cs="仿宋"/>
          <w:color w:val="auto"/>
          <w:spacing w:val="20"/>
          <w:sz w:val="32"/>
          <w:szCs w:val="32"/>
          <w:shd w:val="clear" w:color="auto" w:fill="FFFFFF"/>
          <w:lang w:eastAsia="zh-CN"/>
        </w:rPr>
        <w:t>家，比上年增加2</w:t>
      </w:r>
      <w:r>
        <w:rPr>
          <w:rFonts w:hint="eastAsia" w:ascii="仿宋" w:hAnsi="仿宋" w:eastAsia="仿宋" w:cs="仿宋"/>
          <w:color w:val="auto"/>
          <w:spacing w:val="20"/>
          <w:sz w:val="32"/>
          <w:szCs w:val="32"/>
          <w:shd w:val="clear" w:color="auto" w:fill="FFFFFF"/>
          <w:lang w:val="en-US" w:eastAsia="zh-CN"/>
        </w:rPr>
        <w:t>1</w:t>
      </w:r>
      <w:r>
        <w:rPr>
          <w:rFonts w:hint="eastAsia" w:ascii="仿宋" w:hAnsi="仿宋" w:eastAsia="仿宋" w:cs="仿宋"/>
          <w:color w:val="auto"/>
          <w:spacing w:val="20"/>
          <w:sz w:val="32"/>
          <w:szCs w:val="32"/>
          <w:shd w:val="clear" w:color="auto" w:fill="FFFFFF"/>
          <w:lang w:eastAsia="zh-CN"/>
        </w:rPr>
        <w:t>家；实现规模以上工业总产值738.39亿元，同比增长10.4%。其中产值超十亿元的企业有15家，超亿元的企业有106家。产值超亿元企业共完成工业产值698.54亿元，占全市规模以上工业总产值的94.6%。</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规模以上工业总产值中，轻工业完成产值402.68亿元，下降6.0%；重工业完成产值335.71亿元，增长11.8%，轻重工业产值之比为54.5:45.5。分行业看，医药制造业完成243.18亿元，增长0.1%；电气机械和器材制造业完成68.19亿元，增长24.9%；汽车制造业完成26.06亿元，增长34.0%；电力、热力生产和供应业完成68.43亿元，增长4.0%；食品制造业完成6.89亿元，增长44.9%；酒、饮料和精制茶制造业完成51.76亿元，下降19.1%；烟草制品业完成39.43亿元，增长6.7%；农副食品加工业完成41.85亿元，下降9.8%。</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lang w:eastAsia="zh-CN"/>
        </w:rPr>
        <w:t>2022年，全市规模以上工业增加值同比增长</w:t>
      </w:r>
      <w:r>
        <w:rPr>
          <w:rFonts w:hint="eastAsia" w:ascii="仿宋" w:hAnsi="仿宋" w:eastAsia="仿宋" w:cs="仿宋"/>
          <w:color w:val="auto"/>
          <w:spacing w:val="20"/>
          <w:sz w:val="32"/>
          <w:szCs w:val="32"/>
          <w:shd w:val="clear" w:color="auto" w:fill="FFFFFF"/>
          <w:lang w:val="en-US" w:eastAsia="zh-CN"/>
        </w:rPr>
        <w:t>20.5</w:t>
      </w:r>
      <w:r>
        <w:rPr>
          <w:rFonts w:hint="eastAsia" w:ascii="仿宋" w:hAnsi="仿宋" w:eastAsia="仿宋" w:cs="仿宋"/>
          <w:color w:val="auto"/>
          <w:spacing w:val="20"/>
          <w:sz w:val="32"/>
          <w:szCs w:val="32"/>
          <w:shd w:val="clear" w:color="auto" w:fill="FFFFFF"/>
          <w:lang w:eastAsia="zh-CN"/>
        </w:rPr>
        <w:t>%；全市规模以上工业企业实现销售产值723.33亿元，下降2.0%；全年规上工业产销率为98.0%，比上年增加0.7个百分点。</w:t>
      </w:r>
    </w:p>
    <w:p>
      <w:pPr>
        <w:pStyle w:val="28"/>
        <w:ind w:left="0" w:leftChars="0" w:firstLine="0" w:firstLineChars="0"/>
        <w:jc w:val="center"/>
        <w:rPr>
          <w:rFonts w:hint="eastAsia"/>
          <w:color w:val="auto"/>
        </w:rPr>
      </w:pPr>
      <w:r>
        <w:rPr>
          <w:color w:val="auto"/>
        </w:rPr>
        <w:drawing>
          <wp:inline distT="0" distB="0" distL="114300" distR="114300">
            <wp:extent cx="4496435" cy="2466975"/>
            <wp:effectExtent l="4445" t="4445" r="13970" b="508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b w:val="0"/>
          <w:bCs/>
          <w:color w:val="auto"/>
          <w:spacing w:val="20"/>
          <w:sz w:val="32"/>
          <w:szCs w:val="32"/>
          <w:shd w:val="clear" w:color="auto" w:fill="FFFFFF"/>
          <w:lang w:eastAsia="zh-CN"/>
        </w:rPr>
      </w:pPr>
      <w:r>
        <w:rPr>
          <w:rFonts w:hint="eastAsia" w:ascii="仿宋" w:hAnsi="仿宋" w:eastAsia="仿宋" w:cs="仿宋"/>
          <w:b w:val="0"/>
          <w:bCs/>
          <w:color w:val="auto"/>
          <w:spacing w:val="20"/>
          <w:sz w:val="32"/>
          <w:szCs w:val="32"/>
          <w:shd w:val="clear" w:color="auto" w:fill="FFFFFF"/>
          <w:lang w:eastAsia="zh-CN"/>
        </w:rPr>
        <w:t xml:space="preserve">  </w:t>
      </w:r>
      <w:r>
        <w:rPr>
          <w:rFonts w:hint="eastAsia" w:ascii="仿宋" w:hAnsi="仿宋" w:eastAsia="仿宋" w:cs="仿宋"/>
          <w:b w:val="0"/>
          <w:bCs/>
          <w:color w:val="auto"/>
          <w:spacing w:val="20"/>
          <w:sz w:val="32"/>
          <w:szCs w:val="32"/>
          <w:shd w:val="clear" w:color="auto" w:fill="FFFFFF"/>
          <w:lang w:val="en-US" w:eastAsia="zh-CN"/>
        </w:rPr>
        <w:t>2.</w:t>
      </w:r>
      <w:r>
        <w:rPr>
          <w:rFonts w:hint="eastAsia" w:ascii="仿宋" w:hAnsi="仿宋" w:eastAsia="仿宋" w:cs="仿宋"/>
          <w:b w:val="0"/>
          <w:bCs/>
          <w:color w:val="auto"/>
          <w:spacing w:val="20"/>
          <w:sz w:val="32"/>
          <w:szCs w:val="32"/>
          <w:shd w:val="clear" w:color="auto" w:fill="FFFFFF"/>
        </w:rPr>
        <w:t>建筑业</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2022年全市建筑业实现增加值133.79亿元，比上年下降5.9%。全市具有资质等级的建筑业企业单位208个，增长17.5%。期末从业人员4.65万人，增长19.5%。本市资质内建筑企业全年房屋建筑施工面积1219.64万平方米，增长9.3%；房屋建筑竣工面积247.49万平方米，下降0.6%。</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eastAsia="zh-CN"/>
        </w:rPr>
      </w:pPr>
      <w:r>
        <w:rPr>
          <w:rFonts w:hint="eastAsia" w:ascii="仿宋" w:hAnsi="仿宋" w:eastAsia="仿宋" w:cs="仿宋"/>
          <w:color w:val="auto"/>
          <w:spacing w:val="20"/>
          <w:sz w:val="32"/>
          <w:szCs w:val="32"/>
          <w:shd w:val="clear" w:color="auto" w:fill="FFFFFF"/>
          <w:lang w:eastAsia="zh-CN"/>
        </w:rPr>
        <w:t>（三）房地产业</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lang w:eastAsia="zh-CN"/>
        </w:rPr>
        <w:t>2022年，全市房地产业完成增加值141.0亿元，比上年下降15.6%。全市商品房施工面积3542.17万平方米，增长5.1%；商品房新开工面积448.11万平方米，增长44.2%。商品房销售面积269.44万平方米，下降44.4%。</w:t>
      </w:r>
    </w:p>
    <w:p>
      <w:pPr>
        <w:keepNext w:val="0"/>
        <w:keepLines w:val="0"/>
        <w:pageBreakBefore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（四）旅游业</w:t>
      </w:r>
    </w:p>
    <w:p>
      <w:pPr>
        <w:pStyle w:val="12"/>
        <w:keepNext w:val="0"/>
        <w:keepLines w:val="0"/>
        <w:pageBreakBefore w:val="0"/>
        <w:kinsoku/>
        <w:wordWrap/>
        <w:overflowPunct/>
        <w:topLinePunct w:val="0"/>
        <w:autoSpaceDE/>
        <w:autoSpaceDN/>
        <w:bidi w:val="0"/>
        <w:adjustRightInd/>
        <w:snapToGrid/>
        <w:spacing w:line="540" w:lineRule="exact"/>
        <w:ind w:left="0" w:leftChars="0" w:firstLine="6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我市持续打造旅游品牌，旅游产业发展提质增效。海口骑楼建筑历史文化街区获评首批国家级旅游休闲街区，海口市观澜湖新城入选第二批国家级夜间文化和旅游消费集聚区。美兰区演丰镇演东村委会芳园村获评第四批全国乡村旅游重点村。海口观澜湖旅游度假区荣膺中国十佳高尔夫度假区，排名第一；海口观澜湖黑石球场入选百佳球场，排名第三。海南省博物馆等6家单位获评2022年海南省省级文明旅游示范单位。重磅文旅项目加速推出。旗舰型旅游项目—cdf海口国际免税城开业运营，这也是世界最大的单体免税店。海口演艺新空间二期项目、世纪海角商业街项目投入运营。特色旅游文化消费街区打造步伐加快，推出保利中央海岸国际餐饮文化商业街区项目、红燕堂休闲街区项目、海口骑楼中山路—水巷口商业街区项目等一批特色旅游街区。旅游消费市场多维创新激活。推出“欢游海口过大年”“我爱海口，五一去海口”“国庆趣海口”等系列主题活动，以潮流时尚文化赋能激活旅游市场。开展“惠聚椰城·嗨购夏日”“惠聚椰城，嗨购国庆”活动，向市民游客发放政府消费券包。向市民发放政府消费券，拉动消费约3906万元，有效促进消费市场增长。营销推广成效显著。推出的“初见海口”“漫享海口”“食色海口”三条海口旅游线路市场反响良好。充分利用和积极发动主流媒体和新媒体进行宣传。深耕“海南人游海口”市场，持续开展“我爱海口 海口真好玩”市县旅游推广活动；同时组合澳门、成都、上海等线下营销推广活动，海口旅游热度不断提升。</w:t>
      </w:r>
    </w:p>
    <w:p>
      <w:pPr>
        <w:pStyle w:val="12"/>
        <w:keepNext w:val="0"/>
        <w:keepLines w:val="0"/>
        <w:pageBreakBefore w:val="0"/>
        <w:widowControl w:val="0"/>
        <w:kinsoku/>
        <w:wordWrap/>
        <w:overflowPunct/>
        <w:topLinePunct w:val="0"/>
        <w:autoSpaceDE/>
        <w:autoSpaceDN/>
        <w:bidi w:val="0"/>
        <w:adjustRightInd/>
        <w:snapToGrid/>
        <w:spacing w:line="540" w:lineRule="exact"/>
        <w:ind w:left="0" w:leftChars="0" w:firstLine="6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2022年底,全市旅行社达516家,全市住宿业457家,总客房44217间,A级旅游景区15家。海口市累计接待游客总数1844.99万人次，同比下降20.26%，旅游总收入286.31亿元，同比下降16.92%。</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（五）批发零售业和住宿餐饮业</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社会消费品零售总额为1003.05亿元，占全省比重为44.2%，同比下降5.1%。搭建“会展+”平台，激发消费新“爆点”。今年国际环境的变动导致油价上涨幅度较大，高油价助推了新能源汽车的市场需求，加上新能源汽车的消费补贴政策，促使了限上新能源汽车零售额同比增长35.9%。打造首店经济，引领高端消费新潮流。依托万象城面向中高端消费群体，引进米其林餐厅分店莆田，国际知名运动户外品牌始祖鸟、佳明等102家首店，引领时尚购物消费掀新潮。</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全年批发和零售业实现增加值389.61亿元，比上年下降0.2%，占全市地区生产总值的18.3%；住宿和餐饮业实现增加值50.66亿元，下降12.1%，占全市地区生产总值的2.4%。</w:t>
      </w:r>
    </w:p>
    <w:p>
      <w:pPr>
        <w:jc w:val="center"/>
        <w:rPr>
          <w:rFonts w:hint="eastAsia" w:ascii="仿宋" w:hAnsi="仿宋" w:eastAsia="仿宋" w:cs="仿宋"/>
          <w:color w:val="auto"/>
          <w:spacing w:val="20"/>
          <w:sz w:val="28"/>
          <w:szCs w:val="28"/>
          <w:shd w:val="clear" w:color="auto" w:fill="FFFFFF"/>
        </w:rPr>
      </w:pPr>
      <w:r>
        <w:rPr>
          <w:color w:val="auto"/>
        </w:rPr>
        <w:drawing>
          <wp:inline distT="0" distB="0" distL="114300" distR="114300">
            <wp:extent cx="4562475" cy="2714625"/>
            <wp:effectExtent l="4445" t="4445" r="5080" b="508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在限上企业（单位）商品零售额中，粮油、食品类同比增长17.4%，饮料类同比增长0.8%，烟酒类同比增长36.6%，服装、鞋帽、针纺织品类同比下降23.3%，化妆品类同比增长35.1%，金银珠宝类同比增长1.9%，日用品类同比下降7.9%，体育、娱乐用品类同比下降34.7%，书报杂志类同比下降6.3%，家用电器和音像器材类同比增长15.2%，中西药品类同比增长17.9%，文化办公用品类同比下降43%，家具类同比增长11.2%，通讯器材类同比增长5.0%，石油及制品类同比增长4.5%，汽车类同比下降10.2%，其他同比下降38.2%。</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（六）交通运输</w:t>
      </w:r>
      <w:r>
        <w:rPr>
          <w:rFonts w:hint="eastAsia" w:ascii="楷体" w:hAnsi="楷体" w:eastAsia="楷体" w:cs="楷体"/>
          <w:b w:val="0"/>
          <w:bCs/>
          <w:color w:val="auto"/>
          <w:spacing w:val="20"/>
          <w:sz w:val="32"/>
          <w:szCs w:val="32"/>
          <w:shd w:val="clear" w:color="auto" w:fill="FFFFFF"/>
          <w:lang w:eastAsia="zh-CN"/>
        </w:rPr>
        <w:t>、</w:t>
      </w:r>
      <w:r>
        <w:rPr>
          <w:rFonts w:hint="eastAsia" w:ascii="楷体" w:hAnsi="楷体" w:eastAsia="楷体" w:cs="楷体"/>
          <w:b w:val="0"/>
          <w:bCs/>
          <w:color w:val="auto"/>
          <w:spacing w:val="20"/>
          <w:sz w:val="32"/>
          <w:szCs w:val="32"/>
          <w:shd w:val="clear" w:color="auto" w:fill="FFFFFF"/>
        </w:rPr>
        <w:t>仓储</w:t>
      </w:r>
      <w:r>
        <w:rPr>
          <w:rFonts w:hint="eastAsia" w:ascii="楷体" w:hAnsi="楷体" w:eastAsia="楷体" w:cs="楷体"/>
          <w:b w:val="0"/>
          <w:bCs/>
          <w:color w:val="auto"/>
          <w:spacing w:val="20"/>
          <w:sz w:val="32"/>
          <w:szCs w:val="32"/>
          <w:shd w:val="clear" w:color="auto" w:fill="FFFFFF"/>
          <w:lang w:eastAsia="zh-CN"/>
        </w:rPr>
        <w:t>和</w:t>
      </w:r>
      <w:r>
        <w:rPr>
          <w:rFonts w:hint="eastAsia" w:ascii="楷体" w:hAnsi="楷体" w:eastAsia="楷体" w:cs="楷体"/>
          <w:b w:val="0"/>
          <w:bCs/>
          <w:color w:val="auto"/>
          <w:spacing w:val="20"/>
          <w:sz w:val="32"/>
          <w:szCs w:val="32"/>
          <w:shd w:val="clear" w:color="auto" w:fill="FFFFFF"/>
        </w:rPr>
        <w:t>邮政业</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我市交通运输、仓储和邮政业实现增加值164.09亿元，比上年同期下降3.3%。旅客运输量4509.1万人次，下降31.3%；旅客周转量211.40亿人公里，下降45.3%；货物运输量12248.5万吨，下降1.5%；货物周转量1791.53亿吨公里，增长15.4%；港口货物吞吐量9734.2万吨，下降10.7%；港口集装箱吞吐量214.6万标箱，增长6.7%。</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我市完成邮电业务总量72.53亿元，增长25.2%。其中，电信业务总量57.68亿元，增长31.0%；邮政业务总量14.85亿元，增长6.8%。至年末，全市电话用户464.7万户，其中固定电话用户61.0万户；移动电话用户403.7万户，增加6.5万户。互联网宽带接入用户165.0万户。</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（七）金融、保险和证券</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2022年12月末，全市金融机构本外币存款余额为6399.46亿元，比年初增加559.72亿元，同比增长9.58%。其中，住户存款余额2566.10亿元，同比增长14.4%；非金融企业存款2278.53亿元，同比增长0.8%。</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12月末，全市金融机构本外币各项贷款余额7073.29亿元，比年初增加234.12亿元，同比增长3.42%。其中，中长期贷款余额5790.97亿元，比年初增加430.85亿元，同比增长8.04%；短期贷款余额863.39亿元，比年初减少211.99亿元，同比下降19.71%。</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2022年，金融业增加值占GDP比重提高到11.4%,金融业在国民经济中的地位持续上升，日益成为第三产业和国民经济的重要组成部分。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原保险保费收入134.74亿元，同比增长0.51%。其中财产险业务原保险保费收入46.33亿元，同比增长2.22%；寿险业务原保险保费收入59.16亿元，同比增长6.75%；健康险业务原保险保费收入25.94亿元，同比下降12.22%；意外险业务原保险保费收入3.31亿元，同比下降12.07%。</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全年原保险赔付支出56.55亿元，同比增长8.08%。财产险业务赔付支出30.39亿元，同比增长2.72%；寿险业务赔付支出10.55亿元，同比增长28.06%；健康险业务赔付支出14.70亿元，同比增长6.49%；意外险业务赔付支出9062.81万元，同比增长31.24%。</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海口市证券经营机构总交易金额16356.85亿元，比上年同期下降3.08%，其中股票交易额9156.77亿元，下降13.31%。2022年末海口市证券账户开户287.21万户，增长20.44%。全年海口市期货经营机构期货交易额9754.74亿元，增长17.09%。</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（八）会展业</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2022年，抢抓举办契机，举办超10场招商推介特色活动，释放第二届消博会溢出效应。高质量举办第二届游艇展，主展区总面积达18万平方米，同比增长约125%。从展览面积和参展规模上看，吸引了逾60个境内外知名品牌近200艘船艇参加，同比增长65%。开展5个知名游艇品牌首发首秀，游艇经济发展论坛、海口时尚生活节奏等多场活动。首次以“货物”模式入关的Leopard（猎豹）50以“零关税”模式申请报关，享受免征进口关税、进口环节增值税和消费税的优惠（约38%），成为第二届消博会游艇展“首单”。</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四、对外贸易和总部经济</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（一）对外贸易</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据海口海关统计，2022年我市进出口总额605.6亿元，比上年增长28.6%。其中，出口170.8亿元，增长62%；进口434.8亿元，增长18.9%。贸易逆差264亿元，上升3.53%。</w:t>
      </w:r>
    </w:p>
    <w:p>
      <w:pPr>
        <w:jc w:val="center"/>
        <w:rPr>
          <w:rFonts w:hint="eastAsia" w:ascii="仿宋" w:hAnsi="仿宋" w:eastAsia="仿宋" w:cs="仿宋"/>
          <w:color w:val="auto"/>
          <w:spacing w:val="20"/>
          <w:sz w:val="28"/>
          <w:szCs w:val="28"/>
        </w:rPr>
      </w:pPr>
      <w:r>
        <w:rPr>
          <w:color w:val="auto"/>
        </w:rPr>
        <w:drawing>
          <wp:inline distT="0" distB="0" distL="114300" distR="114300">
            <wp:extent cx="4457700" cy="2420620"/>
            <wp:effectExtent l="0" t="0" r="0" b="17780"/>
            <wp:docPr id="4" name="Host Control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lang w:eastAsia="zh-CN"/>
        </w:rPr>
      </w:pPr>
      <w:r>
        <w:rPr>
          <w:rFonts w:hint="eastAsia" w:ascii="仿宋" w:hAnsi="仿宋" w:eastAsia="仿宋" w:cs="仿宋"/>
          <w:color w:val="auto"/>
          <w:spacing w:val="20"/>
          <w:sz w:val="32"/>
          <w:szCs w:val="32"/>
        </w:rPr>
        <w:t>进一步完善工作机制，强化项目服务。多措并举，招商引资精准高效</w:t>
      </w:r>
      <w:r>
        <w:rPr>
          <w:rFonts w:hint="eastAsia" w:ascii="仿宋" w:hAnsi="仿宋" w:eastAsia="仿宋" w:cs="仿宋"/>
          <w:color w:val="auto"/>
          <w:spacing w:val="20"/>
          <w:sz w:val="32"/>
          <w:szCs w:val="32"/>
          <w:lang w:eastAsia="zh-CN"/>
        </w:rPr>
        <w:t>。</w:t>
      </w:r>
      <w:r>
        <w:rPr>
          <w:rFonts w:hint="eastAsia" w:ascii="仿宋" w:hAnsi="仿宋" w:eastAsia="仿宋" w:cs="仿宋"/>
          <w:color w:val="auto"/>
          <w:spacing w:val="20"/>
          <w:sz w:val="32"/>
          <w:szCs w:val="32"/>
        </w:rPr>
        <w:t>出台《2022年海口市招商引资工作目标任务及考评细则》《海口市领导干部跟踪服务重点项目工作机制》</w:t>
      </w:r>
      <w:r>
        <w:rPr>
          <w:rFonts w:hint="eastAsia" w:ascii="仿宋" w:hAnsi="仿宋" w:eastAsia="仿宋" w:cs="仿宋"/>
          <w:color w:val="auto"/>
          <w:spacing w:val="20"/>
          <w:sz w:val="32"/>
          <w:szCs w:val="32"/>
          <w:lang w:eastAsia="zh-CN"/>
        </w:rPr>
        <w:t>等</w:t>
      </w:r>
      <w:r>
        <w:rPr>
          <w:rFonts w:hint="eastAsia" w:ascii="仿宋" w:hAnsi="仿宋" w:eastAsia="仿宋" w:cs="仿宋"/>
          <w:color w:val="auto"/>
          <w:spacing w:val="20"/>
          <w:sz w:val="32"/>
          <w:szCs w:val="32"/>
        </w:rPr>
        <w:t>招商工作制度</w:t>
      </w:r>
      <w:r>
        <w:rPr>
          <w:rFonts w:hint="eastAsia" w:ascii="仿宋" w:hAnsi="仿宋" w:eastAsia="仿宋" w:cs="仿宋"/>
          <w:color w:val="auto"/>
          <w:spacing w:val="20"/>
          <w:sz w:val="32"/>
          <w:szCs w:val="32"/>
          <w:lang w:eastAsia="zh-CN"/>
        </w:rPr>
        <w:t>。</w:t>
      </w:r>
      <w:r>
        <w:rPr>
          <w:rFonts w:hint="eastAsia" w:ascii="仿宋" w:hAnsi="仿宋" w:eastAsia="仿宋" w:cs="仿宋"/>
          <w:color w:val="auto"/>
          <w:spacing w:val="20"/>
          <w:sz w:val="32"/>
          <w:szCs w:val="32"/>
        </w:rPr>
        <w:t>精准发力产业招商。成立先进制造、现代服务、生物医药、总部经济4大重点产业招商专班及10大细分行业招商小组，实施“多线作战、专项攻坚”招商策略。市领导带队先后赴长三角、珠三角、四川等地开展“点对点”精准招商，推动华为技术、康佳集团、深圳国际控股、深圳华大基因、LVMH（路威酩轩）、晖致医药、艾昆纬等项目落地。密集举办招商活动。坚持“线下不放松、线上不停步”，举办“浙商海口行”、“中俄（萨哈共和国）线上招商推介”、“海南自贸港海口云招商推介会－闽商企业专场活动”等10余场招商活动</w:t>
      </w:r>
      <w:r>
        <w:rPr>
          <w:rFonts w:hint="eastAsia" w:ascii="仿宋" w:hAnsi="仿宋" w:eastAsia="仿宋" w:cs="仿宋"/>
          <w:color w:val="auto"/>
          <w:spacing w:val="20"/>
          <w:sz w:val="32"/>
          <w:szCs w:val="32"/>
          <w:lang w:eastAsia="zh-CN"/>
        </w:rPr>
        <w:t>。</w:t>
      </w:r>
      <w:r>
        <w:rPr>
          <w:rFonts w:hint="eastAsia" w:ascii="仿宋" w:hAnsi="仿宋" w:eastAsia="仿宋" w:cs="仿宋"/>
          <w:color w:val="auto"/>
          <w:spacing w:val="20"/>
          <w:sz w:val="32"/>
          <w:szCs w:val="32"/>
        </w:rPr>
        <w:t>组建京津冀、长三角、大湾区、成渝四个招商分局，形成“1+4”招商格局。召开“产业大招商·精锐再出征”全市产业招商动员部署大会。</w:t>
      </w:r>
      <w:r>
        <w:rPr>
          <w:rFonts w:hint="eastAsia" w:ascii="仿宋" w:hAnsi="仿宋" w:eastAsia="仿宋" w:cs="仿宋"/>
          <w:color w:val="auto"/>
          <w:spacing w:val="20"/>
          <w:sz w:val="32"/>
          <w:szCs w:val="32"/>
          <w:lang w:eastAsia="zh-CN"/>
        </w:rPr>
        <w:t>2022年，全市实际利用外资为</w:t>
      </w:r>
      <w:r>
        <w:rPr>
          <w:rFonts w:hint="eastAsia" w:ascii="仿宋" w:hAnsi="仿宋" w:eastAsia="仿宋" w:cs="仿宋"/>
          <w:color w:val="auto"/>
          <w:spacing w:val="20"/>
          <w:sz w:val="32"/>
          <w:szCs w:val="32"/>
          <w:lang w:val="en-US" w:eastAsia="zh-CN"/>
        </w:rPr>
        <w:t>20.32</w:t>
      </w:r>
      <w:r>
        <w:rPr>
          <w:rFonts w:hint="eastAsia" w:ascii="仿宋" w:hAnsi="仿宋" w:eastAsia="仿宋" w:cs="仿宋"/>
          <w:color w:val="auto"/>
          <w:spacing w:val="20"/>
          <w:sz w:val="32"/>
          <w:szCs w:val="32"/>
          <w:lang w:eastAsia="zh-CN"/>
        </w:rPr>
        <w:t>亿美元，比上年下降</w:t>
      </w:r>
      <w:r>
        <w:rPr>
          <w:rFonts w:hint="eastAsia" w:ascii="仿宋" w:hAnsi="仿宋" w:eastAsia="仿宋" w:cs="仿宋"/>
          <w:color w:val="auto"/>
          <w:spacing w:val="20"/>
          <w:sz w:val="32"/>
          <w:szCs w:val="32"/>
          <w:lang w:val="en-US" w:eastAsia="zh-CN"/>
        </w:rPr>
        <w:t>20.8</w:t>
      </w:r>
      <w:r>
        <w:rPr>
          <w:rFonts w:hint="eastAsia" w:ascii="仿宋" w:hAnsi="仿宋" w:eastAsia="仿宋" w:cs="仿宋"/>
          <w:color w:val="auto"/>
          <w:spacing w:val="20"/>
          <w:sz w:val="32"/>
          <w:szCs w:val="32"/>
          <w:lang w:eastAsia="zh-CN"/>
        </w:rPr>
        <w:t>%；全市累计签约114个项目实质合同，签实质合同金额662.55亿元，重点项目包括中能建国际总部、中石油区域总部、国能远航区域总部、浦科投资航芯集团半导体和通航飞机等。</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（二）总部经济</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lang w:eastAsia="zh-CN"/>
        </w:rPr>
      </w:pPr>
      <w:r>
        <w:rPr>
          <w:rFonts w:hint="eastAsia" w:ascii="仿宋" w:hAnsi="仿宋" w:eastAsia="仿宋" w:cs="仿宋"/>
          <w:color w:val="auto"/>
          <w:spacing w:val="20"/>
          <w:sz w:val="32"/>
          <w:szCs w:val="32"/>
          <w:lang w:eastAsia="zh-CN"/>
        </w:rPr>
        <w:t>2022年，新增总部企业6家，目前共有总部企业48家,占海南省认定企业数量的68.57%（海南省认定总部企业共计70家）。总部企业类型包括综合型（区域型）总部企业36家，高成长型总部企业11家，预认定总部企业1家。</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lang w:eastAsia="zh-CN"/>
        </w:rPr>
        <w:t>2022年海口市全年新增市场主体78</w:t>
      </w:r>
      <w:r>
        <w:rPr>
          <w:rFonts w:hint="eastAsia" w:ascii="仿宋" w:hAnsi="仿宋" w:eastAsia="仿宋" w:cs="仿宋"/>
          <w:color w:val="auto"/>
          <w:spacing w:val="20"/>
          <w:sz w:val="32"/>
          <w:szCs w:val="32"/>
          <w:lang w:val="en-US" w:eastAsia="zh-CN"/>
        </w:rPr>
        <w:t>.</w:t>
      </w:r>
      <w:r>
        <w:rPr>
          <w:rFonts w:hint="eastAsia" w:ascii="仿宋" w:hAnsi="仿宋" w:eastAsia="仿宋" w:cs="仿宋"/>
          <w:color w:val="auto"/>
          <w:spacing w:val="20"/>
          <w:sz w:val="32"/>
          <w:szCs w:val="32"/>
          <w:lang w:eastAsia="zh-CN"/>
        </w:rPr>
        <w:t>0</w:t>
      </w:r>
      <w:r>
        <w:rPr>
          <w:rFonts w:hint="eastAsia" w:ascii="仿宋" w:hAnsi="仿宋" w:eastAsia="仿宋" w:cs="仿宋"/>
          <w:color w:val="auto"/>
          <w:spacing w:val="20"/>
          <w:sz w:val="32"/>
          <w:szCs w:val="32"/>
          <w:lang w:val="en-US" w:eastAsia="zh-CN"/>
        </w:rPr>
        <w:t>9</w:t>
      </w:r>
      <w:r>
        <w:rPr>
          <w:rFonts w:hint="eastAsia" w:ascii="仿宋" w:hAnsi="仿宋" w:eastAsia="仿宋" w:cs="仿宋"/>
          <w:color w:val="auto"/>
          <w:spacing w:val="20"/>
          <w:sz w:val="32"/>
          <w:szCs w:val="32"/>
          <w:lang w:eastAsia="zh-CN"/>
        </w:rPr>
        <w:t>万户，同比增长169.72%，占全省的81.06%。截至2022年12月底，海口市实有市场主体144.04万户，同比增长93.81%，占全省的58.53%。</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黑体" w:hAnsi="黑体" w:eastAsia="黑体" w:cs="黑体"/>
          <w:b w:val="0"/>
          <w:bCs/>
          <w:color w:val="auto"/>
          <w:spacing w:val="20"/>
          <w:sz w:val="32"/>
          <w:szCs w:val="32"/>
        </w:rPr>
      </w:pPr>
      <w:r>
        <w:rPr>
          <w:rFonts w:hint="eastAsia" w:ascii="黑体" w:hAnsi="黑体" w:eastAsia="黑体" w:cs="黑体"/>
          <w:b w:val="0"/>
          <w:bCs/>
          <w:color w:val="auto"/>
          <w:spacing w:val="20"/>
          <w:sz w:val="32"/>
          <w:szCs w:val="32"/>
          <w:shd w:val="clear" w:color="auto" w:fill="FFFFFF"/>
        </w:rPr>
        <w:t>五、科技、文化和体育</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val="en-US" w:eastAsia="zh-CN"/>
        </w:rPr>
      </w:pPr>
      <w:r>
        <w:rPr>
          <w:rFonts w:hint="eastAsia" w:ascii="楷体" w:hAnsi="楷体" w:eastAsia="楷体" w:cs="楷体"/>
          <w:b w:val="0"/>
          <w:bCs/>
          <w:color w:val="auto"/>
          <w:spacing w:val="20"/>
          <w:sz w:val="32"/>
          <w:szCs w:val="32"/>
          <w:shd w:val="clear" w:color="auto" w:fill="FFFFFF"/>
        </w:rPr>
        <w:t>（一）科技</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jc w:val="both"/>
        <w:textAlignment w:val="auto"/>
        <w:rPr>
          <w:rStyle w:val="34"/>
          <w:rFonts w:hint="eastAsia" w:ascii="仿宋" w:hAnsi="仿宋" w:eastAsia="仿宋" w:cs="仿宋"/>
          <w:b w:val="0"/>
          <w:bCs w:val="0"/>
          <w:color w:val="auto"/>
          <w:kern w:val="0"/>
          <w:sz w:val="32"/>
          <w:szCs w:val="32"/>
          <w:highlight w:val="none"/>
        </w:rPr>
      </w:pPr>
      <w:r>
        <w:rPr>
          <w:rFonts w:hint="eastAsia" w:ascii="仿宋" w:hAnsi="仿宋" w:eastAsia="仿宋" w:cs="仿宋"/>
          <w:b w:val="0"/>
          <w:bCs w:val="0"/>
          <w:color w:val="auto"/>
          <w:sz w:val="32"/>
          <w:szCs w:val="32"/>
          <w:highlight w:val="none"/>
          <w:shd w:val="clear" w:color="auto" w:fill="FFFFFF"/>
          <w:lang w:val="en-US" w:eastAsia="zh-CN"/>
        </w:rPr>
        <w:t>持续打好科技创新翻身仗，推进高水平国家创新型城市建设。制定出台《加快推进科技创新促进高质量发展的若干政策措施》</w:t>
      </w:r>
      <w:r>
        <w:rPr>
          <w:rStyle w:val="34"/>
          <w:rFonts w:hint="eastAsia" w:ascii="仿宋" w:hAnsi="仿宋" w:eastAsia="仿宋" w:cs="仿宋"/>
          <w:b w:val="0"/>
          <w:bCs w:val="0"/>
          <w:color w:val="auto"/>
          <w:kern w:val="0"/>
          <w:sz w:val="32"/>
          <w:szCs w:val="32"/>
          <w:highlight w:val="none"/>
          <w:lang w:val="en-US" w:eastAsia="zh-CN"/>
        </w:rPr>
        <w:t>《科技计划项目管理办法》《工程技术研究中心认定管理办法》等政策措施，推动</w:t>
      </w:r>
      <w:r>
        <w:rPr>
          <w:rStyle w:val="34"/>
          <w:rFonts w:hint="eastAsia" w:ascii="仿宋" w:hAnsi="仿宋" w:eastAsia="仿宋" w:cs="仿宋"/>
          <w:b w:val="0"/>
          <w:bCs w:val="0"/>
          <w:color w:val="auto"/>
          <w:kern w:val="0"/>
          <w:sz w:val="32"/>
          <w:szCs w:val="32"/>
          <w:highlight w:val="none"/>
        </w:rPr>
        <w:t>“国家技术转移海南</w:t>
      </w:r>
      <w:r>
        <w:rPr>
          <w:rFonts w:hint="eastAsia" w:ascii="仿宋" w:hAnsi="仿宋" w:eastAsia="仿宋" w:cs="仿宋"/>
          <w:b w:val="0"/>
          <w:bCs w:val="0"/>
          <w:color w:val="auto"/>
          <w:sz w:val="32"/>
          <w:szCs w:val="32"/>
          <w:highlight w:val="none"/>
          <w:shd w:val="clear" w:color="auto" w:fill="FFFFFF"/>
          <w:lang w:val="en-US" w:eastAsia="zh-CN"/>
        </w:rPr>
        <w:t>中心”落地海口挂牌运营，与海南大学推动共建大学科技园，推动高能型创新平台载体建设。梯次培育壮大高精尖企业。专精特新方面，</w:t>
      </w:r>
      <w:r>
        <w:rPr>
          <w:rFonts w:hint="eastAsia" w:ascii="仿宋" w:hAnsi="仿宋" w:eastAsia="仿宋" w:cs="仿宋"/>
          <w:b w:val="0"/>
          <w:bCs w:val="0"/>
          <w:color w:val="auto"/>
          <w:sz w:val="32"/>
          <w:szCs w:val="32"/>
          <w:highlight w:val="none"/>
          <w:lang w:val="en-US" w:eastAsia="zh-CN"/>
        </w:rPr>
        <w:t>新增国家级专精特新“小巨人”企业2家，累计9家，占全省75%；新增省级“专精特新”中小企业88家，累计在库146家，占全省57.25%</w:t>
      </w:r>
      <w:r>
        <w:rPr>
          <w:rFonts w:hint="eastAsia" w:ascii="仿宋" w:hAnsi="仿宋" w:eastAsia="仿宋" w:cs="仿宋"/>
          <w:b w:val="0"/>
          <w:bCs w:val="0"/>
          <w:color w:val="auto"/>
          <w:sz w:val="32"/>
          <w:szCs w:val="32"/>
          <w:highlight w:val="none"/>
          <w:shd w:val="clear" w:color="auto" w:fill="FFFFFF"/>
          <w:lang w:val="en-US" w:eastAsia="zh-CN"/>
        </w:rPr>
        <w:t>。高企方面，高新技术企业965家，占全省63%。科技型中小企业770家左右，约占全省60%。全省“精英行动”，已认定我市种子企业47家（全省占比56%），瞪羚企业11家（全省占比55%），领军企业3家（全省占比100%）。</w:t>
      </w:r>
      <w:r>
        <w:rPr>
          <w:rFonts w:hint="eastAsia" w:ascii="仿宋" w:hAnsi="仿宋" w:eastAsia="仿宋" w:cs="仿宋"/>
          <w:b w:val="0"/>
          <w:bCs w:val="0"/>
          <w:color w:val="auto"/>
          <w:sz w:val="32"/>
          <w:szCs w:val="32"/>
          <w:highlight w:val="none"/>
          <w:shd w:val="clear" w:color="auto" w:fill="FFFFFF"/>
          <w:lang w:eastAsia="zh-CN" w:bidi="ar"/>
        </w:rPr>
        <w:t>强力</w:t>
      </w:r>
      <w:r>
        <w:rPr>
          <w:rFonts w:hint="eastAsia" w:ascii="仿宋" w:hAnsi="仿宋" w:eastAsia="仿宋" w:cs="仿宋"/>
          <w:b w:val="0"/>
          <w:bCs w:val="0"/>
          <w:color w:val="auto"/>
          <w:sz w:val="32"/>
          <w:szCs w:val="32"/>
          <w:highlight w:val="none"/>
          <w:shd w:val="clear" w:color="auto" w:fill="FFFFFF"/>
          <w:lang w:bidi="ar"/>
        </w:rPr>
        <w:t>推动R＆D投入工作。</w:t>
      </w:r>
      <w:r>
        <w:rPr>
          <w:rFonts w:hint="eastAsia" w:ascii="仿宋" w:hAnsi="仿宋" w:eastAsia="仿宋" w:cs="仿宋"/>
          <w:b w:val="0"/>
          <w:bCs w:val="0"/>
          <w:color w:val="auto"/>
          <w:sz w:val="32"/>
          <w:szCs w:val="32"/>
          <w:highlight w:val="none"/>
        </w:rPr>
        <w:t>2021年我市R&amp;D经费投入达28.8亿元，比上年增长87.7%，占全省比重为61.27%；R&amp;D经费投入强度1.4%，比上年提高0.54个百分点。</w:t>
      </w:r>
      <w:r>
        <w:rPr>
          <w:rFonts w:hint="eastAsia" w:ascii="仿宋" w:hAnsi="仿宋" w:eastAsia="仿宋" w:cs="仿宋"/>
          <w:b w:val="0"/>
          <w:bCs w:val="0"/>
          <w:color w:val="auto"/>
          <w:sz w:val="32"/>
          <w:szCs w:val="32"/>
          <w:highlight w:val="none"/>
          <w:shd w:val="clear" w:color="auto" w:fill="FFFFFF"/>
          <w:lang w:val="en-US" w:eastAsia="zh-CN" w:bidi="ar"/>
        </w:rPr>
        <w:t>推动科技创新能力提升。</w:t>
      </w:r>
      <w:r>
        <w:rPr>
          <w:rStyle w:val="34"/>
          <w:rFonts w:hint="eastAsia" w:ascii="仿宋" w:hAnsi="仿宋" w:eastAsia="仿宋" w:cs="仿宋"/>
          <w:b w:val="0"/>
          <w:bCs w:val="0"/>
          <w:color w:val="auto"/>
          <w:kern w:val="0"/>
          <w:sz w:val="32"/>
          <w:szCs w:val="32"/>
          <w:highlight w:val="none"/>
        </w:rPr>
        <w:t>新增省级重点实验室1家、省级技术转移转化服务机构3家，目前累计拥有省级以上科技创新平台已超过140家</w:t>
      </w:r>
      <w:r>
        <w:rPr>
          <w:rStyle w:val="34"/>
          <w:rFonts w:hint="eastAsia" w:ascii="仿宋" w:hAnsi="仿宋" w:eastAsia="仿宋" w:cs="仿宋"/>
          <w:b w:val="0"/>
          <w:bCs w:val="0"/>
          <w:color w:val="auto"/>
          <w:sz w:val="32"/>
          <w:szCs w:val="32"/>
          <w:highlight w:val="none"/>
        </w:rPr>
        <w:t>，基本建成了以高校院所为骨干、企业为支撑的平台体系</w:t>
      </w:r>
      <w:r>
        <w:rPr>
          <w:rStyle w:val="34"/>
          <w:rFonts w:hint="eastAsia" w:ascii="仿宋" w:hAnsi="仿宋" w:eastAsia="仿宋" w:cs="仿宋"/>
          <w:b w:val="0"/>
          <w:bCs w:val="0"/>
          <w:color w:val="auto"/>
          <w:kern w:val="0"/>
          <w:sz w:val="32"/>
          <w:szCs w:val="32"/>
          <w:highlight w:val="none"/>
        </w:rPr>
        <w:t>，提前完成全省打赢科技创新翻身仗此项目标任务。</w:t>
      </w:r>
      <w:r>
        <w:rPr>
          <w:rFonts w:hint="eastAsia" w:ascii="仿宋" w:hAnsi="仿宋" w:eastAsia="仿宋" w:cs="仿宋"/>
          <w:b w:val="0"/>
          <w:bCs w:val="0"/>
          <w:color w:val="auto"/>
          <w:sz w:val="32"/>
          <w:szCs w:val="32"/>
          <w:highlight w:val="none"/>
          <w:shd w:val="clear" w:color="auto" w:fill="FFFFFF"/>
          <w:lang w:val="en-US" w:eastAsia="zh-CN"/>
        </w:rPr>
        <w:t>助推关键技术攻关。</w:t>
      </w:r>
      <w:r>
        <w:rPr>
          <w:rStyle w:val="34"/>
          <w:rFonts w:hint="eastAsia" w:ascii="仿宋" w:hAnsi="仿宋" w:eastAsia="仿宋" w:cs="仿宋"/>
          <w:b w:val="0"/>
          <w:bCs w:val="0"/>
          <w:color w:val="auto"/>
          <w:kern w:val="0"/>
          <w:sz w:val="32"/>
          <w:szCs w:val="32"/>
          <w:highlight w:val="none"/>
        </w:rPr>
        <w:t>今年完成10个重大科技创新项目顺利完成中期评估，</w:t>
      </w:r>
      <w:r>
        <w:rPr>
          <w:rStyle w:val="34"/>
          <w:rFonts w:hint="eastAsia" w:ascii="仿宋" w:hAnsi="仿宋" w:eastAsia="仿宋" w:cs="仿宋"/>
          <w:b w:val="0"/>
          <w:bCs w:val="0"/>
          <w:color w:val="auto"/>
          <w:kern w:val="0"/>
          <w:sz w:val="32"/>
          <w:szCs w:val="32"/>
          <w:highlight w:val="none"/>
          <w:lang w:eastAsia="zh-CN"/>
        </w:rPr>
        <w:t>其中</w:t>
      </w:r>
      <w:r>
        <w:rPr>
          <w:rStyle w:val="34"/>
          <w:rFonts w:hint="eastAsia" w:ascii="仿宋" w:hAnsi="仿宋" w:eastAsia="仿宋" w:cs="仿宋"/>
          <w:b w:val="0"/>
          <w:bCs w:val="0"/>
          <w:color w:val="auto"/>
          <w:kern w:val="0"/>
          <w:sz w:val="32"/>
          <w:szCs w:val="32"/>
          <w:highlight w:val="none"/>
        </w:rPr>
        <w:t>1个项目已获得生产批件并于5月上市销售；重点推动生物制药、机械制造、电子信息、新材料、现代农业等领域的关键技术攻关。2022</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Style w:val="34"/>
          <w:rFonts w:hint="eastAsia" w:ascii="仿宋" w:hAnsi="仿宋" w:eastAsia="仿宋" w:cs="仿宋"/>
          <w:b w:val="0"/>
          <w:bCs w:val="0"/>
          <w:color w:val="auto"/>
          <w:kern w:val="0"/>
          <w:sz w:val="32"/>
          <w:szCs w:val="32"/>
          <w:highlight w:val="none"/>
        </w:rPr>
      </w:pPr>
      <w:r>
        <w:rPr>
          <w:rStyle w:val="34"/>
          <w:rFonts w:hint="eastAsia" w:ascii="仿宋" w:hAnsi="仿宋" w:eastAsia="仿宋" w:cs="仿宋"/>
          <w:b w:val="0"/>
          <w:bCs w:val="0"/>
          <w:color w:val="auto"/>
          <w:kern w:val="0"/>
          <w:sz w:val="32"/>
          <w:szCs w:val="32"/>
          <w:highlight w:val="none"/>
        </w:rPr>
        <w:t>年全市登记技术合同1477件,合同成交总金额达28.8亿元,其中技术交易额达27.6亿元,同比增长32.7%,占全省比重为82.2%。</w:t>
      </w:r>
    </w:p>
    <w:p>
      <w:pPr>
        <w:keepNext w:val="0"/>
        <w:keepLines w:val="0"/>
        <w:pageBreakBefore w:val="0"/>
        <w:widowControl w:val="0"/>
        <w:suppressLineNumbers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hint="eastAsia" w:ascii="仿宋" w:hAnsi="仿宋" w:eastAsia="仿宋" w:cs="仿宋"/>
          <w:b w:val="0"/>
          <w:bCs w:val="0"/>
          <w:color w:val="auto"/>
          <w:sz w:val="32"/>
          <w:szCs w:val="32"/>
          <w:highlight w:val="none"/>
          <w:shd w:val="clear" w:color="auto" w:fill="FFFFFF"/>
          <w:lang w:val="en-US" w:eastAsia="zh-CN"/>
        </w:rPr>
      </w:pPr>
      <w:r>
        <w:rPr>
          <w:rFonts w:hint="eastAsia" w:ascii="仿宋" w:hAnsi="仿宋" w:eastAsia="仿宋" w:cs="仿宋"/>
          <w:b w:val="0"/>
          <w:bCs w:val="0"/>
          <w:color w:val="auto"/>
          <w:sz w:val="32"/>
          <w:szCs w:val="32"/>
          <w:highlight w:val="none"/>
          <w:shd w:val="clear" w:color="auto" w:fill="FFFFFF"/>
          <w:lang w:val="en-US" w:eastAsia="zh-CN"/>
        </w:rPr>
        <w:t>信息化赋能精准疫情防控。快速上线“核酸地图”。协调高德、百度地图，利用城市大脑数据和算力支撑，用7个小时快速上线核酸地图，精确覆盖全市在疫情期间开设的890个核酸检测点位信息，方便市民便捷查询、就近检测，有效减少群众聚集，缓解社区防疫宣传压力。加强云资源配置，全力保障防疫系统稳定运行。会同相关部门建立24小时值班巡检机制，高标准扩展配置政务云资源，协调升级扩容健康码、防疫通、核酸检测等系统平台，确保疫情防控系统支撑有力、稳定运行。强化通信基础支撑。全员核酸检测期间，协调通信企业日均出动人员338人、车辆148台，强化核酸检测通信保障，确保我市通信网络畅通、应急抢修及时有效。截至12月底，新建5G基站2289个，完成省下达年度任务的103.85%。清理5G转供电问题2205个，节约电费1223.92万/年。推进方舱医院信息化建设。协调推动方舱医院远程医疗信息化平台、视频监控、无线覆盖、安全门禁、云桌面等信息化建设，为方舱医院如期交付使用提供信息化支撑。</w:t>
      </w:r>
    </w:p>
    <w:p>
      <w:pPr>
        <w:keepNext w:val="0"/>
        <w:keepLines w:val="0"/>
        <w:pageBreakBefore w:val="0"/>
        <w:widowControl w:val="0"/>
        <w:suppressLineNumbers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kern w:val="0"/>
          <w:sz w:val="32"/>
          <w:szCs w:val="32"/>
          <w:highlight w:val="none"/>
          <w:shd w:val="clear" w:color="auto" w:fill="FFFFFF"/>
          <w:lang w:val="en-US" w:eastAsia="zh-CN" w:bidi="ar"/>
        </w:rPr>
        <w:t>推进国际设计岛建设，</w:t>
      </w:r>
      <w:r>
        <w:rPr>
          <w:rFonts w:hint="eastAsia" w:ascii="仿宋" w:hAnsi="仿宋" w:eastAsia="仿宋" w:cs="仿宋"/>
          <w:b w:val="0"/>
          <w:bCs w:val="0"/>
          <w:color w:val="auto"/>
          <w:kern w:val="28"/>
          <w:sz w:val="32"/>
          <w:szCs w:val="32"/>
          <w:highlight w:val="none"/>
        </w:rPr>
        <w:t>组建国际设计岛工作专班，</w:t>
      </w:r>
      <w:r>
        <w:rPr>
          <w:rFonts w:hint="eastAsia" w:ascii="仿宋" w:hAnsi="仿宋" w:eastAsia="仿宋" w:cs="仿宋"/>
          <w:b w:val="0"/>
          <w:bCs w:val="0"/>
          <w:color w:val="auto"/>
          <w:sz w:val="32"/>
          <w:szCs w:val="32"/>
          <w:highlight w:val="none"/>
        </w:rPr>
        <w:t>谋划</w:t>
      </w:r>
      <w:r>
        <w:rPr>
          <w:rFonts w:hint="eastAsia" w:ascii="仿宋" w:hAnsi="仿宋" w:eastAsia="仿宋" w:cs="仿宋"/>
          <w:b w:val="0"/>
          <w:bCs w:val="0"/>
          <w:color w:val="auto"/>
          <w:kern w:val="0"/>
          <w:sz w:val="32"/>
          <w:szCs w:val="32"/>
          <w:highlight w:val="none"/>
          <w:lang w:val="en-US" w:eastAsia="zh-CN" w:bidi="ar"/>
        </w:rPr>
        <w:t>推进集成电路设计公共服务平台以及“设计师村”和“江东设计中心”等项目建设，为打造设计产业集群蓄积发展动能。获批海南国际设计岛示范基地2家，海南省首批省级工业设计中心3家。在2022首届海南国际设计师大赛中，19家海南企业获海南特别奖，其中海口获奖企业15家；优秀设计师奖中，海口获奖6人（其中金质奖1人、银质奖1人、铜质奖4人）。</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（二）文化</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城市文化魅力持续提升</w:t>
      </w:r>
      <w:r>
        <w:rPr>
          <w:rFonts w:hint="eastAsia" w:ascii="仿宋" w:hAnsi="仿宋" w:eastAsia="仿宋" w:cs="仿宋"/>
          <w:color w:val="auto"/>
          <w:spacing w:val="20"/>
          <w:sz w:val="32"/>
          <w:szCs w:val="32"/>
          <w:lang w:eastAsia="zh-CN"/>
        </w:rPr>
        <w:t>，</w:t>
      </w:r>
      <w:r>
        <w:rPr>
          <w:rFonts w:hint="eastAsia" w:ascii="仿宋" w:hAnsi="仿宋" w:eastAsia="仿宋" w:cs="仿宋"/>
          <w:color w:val="auto"/>
          <w:spacing w:val="20"/>
          <w:sz w:val="32"/>
          <w:szCs w:val="32"/>
        </w:rPr>
        <w:t>公共服务加速优化。持续推动省会城市十大公共文化设施、五源河体育馆、“天空之山”海边驿站和24小时城市书房等项目建设；推动海口图书馆管理系统升级改造，不断完善基层文化室配套。省内首推青少年安全教育沉浸式体验空间，常态化开展安全教育志愿服务活动。依托琼崖一大旧址，打造“多元阅读空间+创新红色教育打卡地”。文艺创作不断上新。广场舞作品《最暖崖州年》荣获文化和旅游部主办的“第十九届群星奖广场舞、群众合唱决赛”比赛“群星奖作品入围奖”。《信哒哒槟榔醉了》《苗胞情》《海南我骄傲》等8个作品荣获“海南省群众文化艺术优秀作品奖”。舞蹈《福寿赋》荣获第四届海南省“南海文艺奖”。大型古装琼剧《丘濬》完成创排。优质文化加大供给。舞蹈诗剧《只此青绿》在海口连演6场，好评如潮；2022海南岛春季国际艺术展在海口成功举办，成功引进“韩美林生肖艺术展”；引进《当爱已成往事》《侠骨柔情——经典武侠影视金曲视听音乐会》等各类精品演出115场次。引进“水木年华·再启程”全国巡演海口站演唱会。文化惠民温暖人心。围绕“喜迎二十大奋进新征程”，积极开展2022年海口市“春风村雨”文化惠民活动等惠民文化活动40余场次；举办2022“我们的节日”系列主题活动、海口市蒲公英少儿艺术大赛等省内颇具影响力的公益活动。城市文化印记加快保存活化。海瑞文化公园提升改造完成并正式开园，丘浚陈列馆正式开馆；海口市博物馆成为海口市首家省级民族团结进步教育基地；加快推进五公祠陈列展览及景区改造、秀英炮台陈列布展项目。创意开展“非遗进校园”活动，推动非遗项目融入学生生活，倍受学生欢迎。开展“寻迹椰城·2022海口城市文化印记主题活动”，举办“海口印记”特色旅游商品设计大赛及展销市集活动。</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lang w:val="en-US" w:eastAsia="zh-CN"/>
        </w:rPr>
      </w:pPr>
      <w:r>
        <w:rPr>
          <w:rFonts w:hint="eastAsia" w:ascii="仿宋" w:hAnsi="仿宋" w:eastAsia="仿宋" w:cs="仿宋"/>
          <w:color w:val="auto"/>
          <w:spacing w:val="20"/>
          <w:sz w:val="32"/>
          <w:szCs w:val="32"/>
        </w:rPr>
        <w:t>全市共有艺术表演团体32个,艺术表演场馆13个,博物馆11个,群众艺术馆2个、文化馆4个,文化站4个,公共图书馆7个。全年广播人口综合覆盖率100%,电视覆盖人口综合覆盖率达到100%。公共图书馆藏书量423万册</w:t>
      </w:r>
      <w:r>
        <w:rPr>
          <w:rFonts w:hint="eastAsia" w:ascii="仿宋" w:hAnsi="仿宋" w:eastAsia="仿宋" w:cs="仿宋"/>
          <w:color w:val="auto"/>
          <w:spacing w:val="20"/>
          <w:sz w:val="32"/>
          <w:szCs w:val="32"/>
          <w:lang w:eastAsia="zh-CN"/>
        </w:rPr>
        <w:t>。</w:t>
      </w:r>
    </w:p>
    <w:p>
      <w:pPr>
        <w:keepNext w:val="0"/>
        <w:keepLines w:val="0"/>
        <w:pageBreakBefore w:val="0"/>
        <w:widowControl/>
        <w:kinsoku/>
        <w:wordWrap/>
        <w:overflowPunct/>
        <w:topLinePunct w:val="0"/>
        <w:autoSpaceDE/>
        <w:autoSpaceDN/>
        <w:bidi w:val="0"/>
        <w:adjustRightInd/>
        <w:snapToGrid/>
        <w:spacing w:line="540" w:lineRule="exact"/>
        <w:ind w:left="0" w:leftChars="0" w:firstLine="722" w:firstLineChars="200"/>
        <w:jc w:val="both"/>
        <w:textAlignment w:val="auto"/>
        <w:rPr>
          <w:rFonts w:hint="eastAsia" w:ascii="楷体" w:hAnsi="楷体" w:eastAsia="楷体" w:cs="楷体"/>
          <w:b/>
          <w:color w:val="auto"/>
          <w:spacing w:val="20"/>
          <w:sz w:val="32"/>
          <w:szCs w:val="32"/>
          <w:shd w:val="clear" w:color="auto" w:fill="FFFFFF"/>
        </w:rPr>
      </w:pPr>
      <w:r>
        <w:rPr>
          <w:rFonts w:hint="eastAsia" w:ascii="楷体" w:hAnsi="楷体" w:eastAsia="楷体" w:cs="楷体"/>
          <w:b/>
          <w:bCs/>
          <w:color w:val="auto"/>
          <w:spacing w:val="20"/>
          <w:sz w:val="32"/>
          <w:szCs w:val="32"/>
        </w:rPr>
        <w:t>（</w:t>
      </w:r>
      <w:r>
        <w:rPr>
          <w:rFonts w:hint="eastAsia" w:ascii="楷体" w:hAnsi="楷体" w:eastAsia="楷体" w:cs="楷体"/>
          <w:b/>
          <w:bCs/>
          <w:color w:val="auto"/>
          <w:spacing w:val="20"/>
          <w:sz w:val="32"/>
          <w:szCs w:val="32"/>
          <w:shd w:val="clear" w:color="auto" w:fill="FFFFFF"/>
        </w:rPr>
        <w:t>三）</w:t>
      </w:r>
      <w:r>
        <w:rPr>
          <w:rFonts w:hint="eastAsia" w:ascii="楷体" w:hAnsi="楷体" w:eastAsia="楷体" w:cs="楷体"/>
          <w:b/>
          <w:color w:val="auto"/>
          <w:spacing w:val="20"/>
          <w:sz w:val="32"/>
          <w:szCs w:val="32"/>
          <w:shd w:val="clear" w:color="auto" w:fill="FFFFFF"/>
        </w:rPr>
        <w:t>体育</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lang w:eastAsia="zh-CN"/>
        </w:rPr>
        <w:t>打造活力体育之城成效显著，品牌赛事精彩纷呈。成功举办杭州亚运会帆船项目选拔赛暨2022全国帆船冠军赛，顺利完成国家射箭队2022年杭州亚运会选拔赛。首次引进中国足球协会超级联赛，反响热烈；中国大学生篮球联赛、中国高中篮球联赛、华蒙星幼儿篮球赛等具有全国影响力的全系列篮球赛事纷纷落户海口，海口体育旅游吸引力不断提升。体育产业蓬勃发展。2022年6月26日，中国足球（南方）训练基地在海口观澜湖足球基地挂牌。依托国家体育训练南方基地和观澜湖足球训练基地，大力发展冬训、青训产业，全年共接待国家帆船帆板队、国家男子足球队、国家青年沙滩排球队等79支队伍来海口训练，接待量约10.9万人天。积极开展体育旅游宣传活动，通过冠名参赛帆船，借助朗姆路跨大西洋单人帆船赛积极宣传海口帆船帆板体育旅游资源，扩大海口水上运动知名度。全民健身不断完善。在海口市投放69套约828件全民健身路径，基本实现健身器材配备全覆盖。全市人均体育场地面积3.37平方米，提前3年完成“十四五”全国人均体育场地面积目标（2.6平方米）。群众体育活动丰富多彩。举办2022第六届海南亲水运动季活动，2022年海口市“迎春杯”足球赛暨甲级联赛、西海岸潮流体育活动等十余项群众体育活动。配套第二届消博会打造“这夏爱上海口”体育旅游产品，推出并常态化开展帆船、皮划艇、尾波冲浪等亲水项目，海口水上运动魅力进一步彰显。</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六、环境保护</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color w:val="auto"/>
          <w:spacing w:val="20"/>
          <w:sz w:val="32"/>
          <w:szCs w:val="32"/>
          <w:lang w:eastAsia="zh-CN"/>
        </w:rPr>
      </w:pPr>
      <w:r>
        <w:rPr>
          <w:rFonts w:hint="eastAsia" w:ascii="仿宋" w:hAnsi="仿宋" w:eastAsia="仿宋" w:cs="仿宋"/>
          <w:b w:val="0"/>
          <w:bCs/>
          <w:i w:val="0"/>
          <w:caps w:val="0"/>
          <w:color w:val="auto"/>
          <w:spacing w:val="0"/>
          <w:sz w:val="32"/>
          <w:szCs w:val="32"/>
          <w:shd w:val="clear" w:color="auto" w:fill="FFFFFF"/>
          <w:lang w:val="en-US" w:eastAsia="zh-CN"/>
        </w:rPr>
        <w:t>2022年，我市城市环境空气质量情况总体良好，空气质量优良率为97.3%，PM</w:t>
      </w:r>
      <w:r>
        <w:rPr>
          <w:rFonts w:hint="eastAsia" w:ascii="仿宋" w:hAnsi="仿宋" w:eastAsia="仿宋" w:cs="仿宋"/>
          <w:b w:val="0"/>
          <w:bCs/>
          <w:i w:val="0"/>
          <w:caps w:val="0"/>
          <w:color w:val="auto"/>
          <w:spacing w:val="0"/>
          <w:sz w:val="32"/>
          <w:szCs w:val="32"/>
          <w:shd w:val="clear" w:color="auto" w:fill="FFFFFF"/>
          <w:vertAlign w:val="subscript"/>
          <w:lang w:val="en-US" w:eastAsia="zh-CN"/>
        </w:rPr>
        <w:t>2.5</w:t>
      </w:r>
      <w:r>
        <w:rPr>
          <w:rFonts w:hint="eastAsia" w:ascii="仿宋" w:hAnsi="仿宋" w:eastAsia="仿宋" w:cs="仿宋"/>
          <w:b w:val="0"/>
          <w:bCs/>
          <w:i w:val="0"/>
          <w:caps w:val="0"/>
          <w:color w:val="auto"/>
          <w:spacing w:val="0"/>
          <w:sz w:val="32"/>
          <w:szCs w:val="32"/>
          <w:shd w:val="clear" w:color="auto" w:fill="FFFFFF"/>
          <w:lang w:val="en-US" w:eastAsia="zh-CN"/>
        </w:rPr>
        <w:t>、PM</w:t>
      </w:r>
      <w:r>
        <w:rPr>
          <w:rFonts w:hint="eastAsia" w:ascii="仿宋" w:hAnsi="仿宋" w:eastAsia="仿宋" w:cs="仿宋"/>
          <w:b w:val="0"/>
          <w:bCs/>
          <w:i w:val="0"/>
          <w:caps w:val="0"/>
          <w:color w:val="auto"/>
          <w:spacing w:val="0"/>
          <w:sz w:val="32"/>
          <w:szCs w:val="32"/>
          <w:shd w:val="clear" w:color="auto" w:fill="FFFFFF"/>
          <w:vertAlign w:val="subscript"/>
          <w:lang w:val="en-US" w:eastAsia="zh-CN"/>
        </w:rPr>
        <w:t>10</w:t>
      </w:r>
      <w:r>
        <w:rPr>
          <w:rFonts w:hint="eastAsia" w:ascii="仿宋" w:hAnsi="仿宋" w:eastAsia="仿宋" w:cs="仿宋"/>
          <w:b w:val="0"/>
          <w:bCs/>
          <w:i w:val="0"/>
          <w:caps w:val="0"/>
          <w:color w:val="auto"/>
          <w:spacing w:val="0"/>
          <w:sz w:val="32"/>
          <w:szCs w:val="32"/>
          <w:shd w:val="clear" w:color="auto" w:fill="FFFFFF"/>
          <w:lang w:val="en-US" w:eastAsia="zh-CN"/>
        </w:rPr>
        <w:t>、O</w:t>
      </w:r>
      <w:r>
        <w:rPr>
          <w:rFonts w:hint="eastAsia" w:ascii="仿宋" w:hAnsi="仿宋" w:eastAsia="仿宋" w:cs="仿宋"/>
          <w:b w:val="0"/>
          <w:bCs/>
          <w:i w:val="0"/>
          <w:caps w:val="0"/>
          <w:color w:val="auto"/>
          <w:spacing w:val="0"/>
          <w:sz w:val="32"/>
          <w:szCs w:val="32"/>
          <w:shd w:val="clear" w:color="auto" w:fill="FFFFFF"/>
          <w:vertAlign w:val="subscript"/>
          <w:lang w:val="en-US" w:eastAsia="zh-CN"/>
        </w:rPr>
        <w:t>3</w:t>
      </w:r>
      <w:r>
        <w:rPr>
          <w:rFonts w:hint="eastAsia" w:ascii="仿宋" w:hAnsi="仿宋" w:eastAsia="仿宋" w:cs="仿宋"/>
          <w:b w:val="0"/>
          <w:bCs/>
          <w:i w:val="0"/>
          <w:caps w:val="0"/>
          <w:color w:val="auto"/>
          <w:spacing w:val="0"/>
          <w:sz w:val="32"/>
          <w:szCs w:val="32"/>
          <w:shd w:val="clear" w:color="auto" w:fill="FFFFFF"/>
          <w:lang w:val="en-US" w:eastAsia="zh-CN"/>
        </w:rPr>
        <w:t>、SO</w:t>
      </w:r>
      <w:r>
        <w:rPr>
          <w:rFonts w:hint="eastAsia" w:ascii="仿宋" w:hAnsi="仿宋" w:eastAsia="仿宋" w:cs="仿宋"/>
          <w:b w:val="0"/>
          <w:bCs/>
          <w:i w:val="0"/>
          <w:caps w:val="0"/>
          <w:color w:val="auto"/>
          <w:spacing w:val="0"/>
          <w:sz w:val="32"/>
          <w:szCs w:val="32"/>
          <w:shd w:val="clear" w:color="auto" w:fill="FFFFFF"/>
          <w:vertAlign w:val="subscript"/>
          <w:lang w:val="en-US" w:eastAsia="zh-CN"/>
        </w:rPr>
        <w:t>2</w:t>
      </w:r>
      <w:r>
        <w:rPr>
          <w:rFonts w:hint="eastAsia" w:ascii="仿宋" w:hAnsi="仿宋" w:eastAsia="仿宋" w:cs="仿宋"/>
          <w:b w:val="0"/>
          <w:bCs/>
          <w:i w:val="0"/>
          <w:caps w:val="0"/>
          <w:color w:val="auto"/>
          <w:spacing w:val="0"/>
          <w:sz w:val="32"/>
          <w:szCs w:val="32"/>
          <w:shd w:val="clear" w:color="auto" w:fill="FFFFFF"/>
          <w:lang w:val="en-US" w:eastAsia="zh-CN"/>
        </w:rPr>
        <w:t>、NO</w:t>
      </w:r>
      <w:r>
        <w:rPr>
          <w:rFonts w:hint="eastAsia" w:ascii="仿宋" w:hAnsi="仿宋" w:eastAsia="仿宋" w:cs="仿宋"/>
          <w:b w:val="0"/>
          <w:bCs/>
          <w:i w:val="0"/>
          <w:caps w:val="0"/>
          <w:color w:val="auto"/>
          <w:spacing w:val="0"/>
          <w:sz w:val="32"/>
          <w:szCs w:val="32"/>
          <w:shd w:val="clear" w:color="auto" w:fill="FFFFFF"/>
          <w:vertAlign w:val="subscript"/>
          <w:lang w:val="en-US" w:eastAsia="zh-CN"/>
        </w:rPr>
        <w:t>2</w:t>
      </w:r>
      <w:r>
        <w:rPr>
          <w:rFonts w:hint="eastAsia" w:ascii="仿宋" w:hAnsi="仿宋" w:eastAsia="仿宋" w:cs="仿宋"/>
          <w:b w:val="0"/>
          <w:bCs/>
          <w:i w:val="0"/>
          <w:caps w:val="0"/>
          <w:color w:val="auto"/>
          <w:spacing w:val="0"/>
          <w:sz w:val="32"/>
          <w:szCs w:val="32"/>
          <w:shd w:val="clear" w:color="auto" w:fill="FFFFFF"/>
          <w:lang w:val="en-US" w:eastAsia="zh-CN"/>
        </w:rPr>
        <w:t>、CO六项污染物浓度分别为13微克/立方米、26微克/立方米、125微克/立方米、4微克/立方米、9微克/立方米、0.8毫克/立方米。PM</w:t>
      </w:r>
      <w:r>
        <w:rPr>
          <w:rFonts w:hint="eastAsia" w:ascii="仿宋" w:hAnsi="仿宋" w:eastAsia="仿宋" w:cs="仿宋"/>
          <w:b w:val="0"/>
          <w:bCs/>
          <w:i w:val="0"/>
          <w:caps w:val="0"/>
          <w:color w:val="auto"/>
          <w:spacing w:val="0"/>
          <w:sz w:val="32"/>
          <w:szCs w:val="32"/>
          <w:shd w:val="clear" w:color="auto" w:fill="FFFFFF"/>
          <w:vertAlign w:val="subscript"/>
          <w:lang w:val="en-US" w:eastAsia="zh-CN"/>
        </w:rPr>
        <w:t>2.5</w:t>
      </w:r>
      <w:r>
        <w:rPr>
          <w:rFonts w:hint="eastAsia" w:ascii="仿宋" w:hAnsi="仿宋" w:eastAsia="仿宋" w:cs="仿宋"/>
          <w:b w:val="0"/>
          <w:bCs/>
          <w:i w:val="0"/>
          <w:caps w:val="0"/>
          <w:color w:val="auto"/>
          <w:spacing w:val="0"/>
          <w:sz w:val="32"/>
          <w:szCs w:val="32"/>
          <w:shd w:val="clear" w:color="auto" w:fill="FFFFFF"/>
          <w:lang w:val="en-US" w:eastAsia="zh-CN"/>
        </w:rPr>
        <w:t>、PM</w:t>
      </w:r>
      <w:r>
        <w:rPr>
          <w:rFonts w:hint="eastAsia" w:ascii="仿宋" w:hAnsi="仿宋" w:eastAsia="仿宋" w:cs="仿宋"/>
          <w:b w:val="0"/>
          <w:bCs/>
          <w:i w:val="0"/>
          <w:caps w:val="0"/>
          <w:color w:val="auto"/>
          <w:spacing w:val="0"/>
          <w:sz w:val="32"/>
          <w:szCs w:val="32"/>
          <w:shd w:val="clear" w:color="auto" w:fill="FFFFFF"/>
          <w:vertAlign w:val="subscript"/>
          <w:lang w:val="en-US" w:eastAsia="zh-CN"/>
        </w:rPr>
        <w:t>10</w:t>
      </w:r>
      <w:r>
        <w:rPr>
          <w:rFonts w:hint="eastAsia" w:ascii="仿宋" w:hAnsi="仿宋" w:eastAsia="仿宋" w:cs="仿宋"/>
          <w:b w:val="0"/>
          <w:bCs/>
          <w:i w:val="0"/>
          <w:caps w:val="0"/>
          <w:color w:val="auto"/>
          <w:spacing w:val="0"/>
          <w:sz w:val="32"/>
          <w:szCs w:val="32"/>
          <w:shd w:val="clear" w:color="auto" w:fill="FFFFFF"/>
          <w:lang w:val="en-US" w:eastAsia="zh-CN"/>
        </w:rPr>
        <w:t>、NO</w:t>
      </w:r>
      <w:r>
        <w:rPr>
          <w:rFonts w:hint="eastAsia" w:ascii="仿宋" w:hAnsi="仿宋" w:eastAsia="仿宋" w:cs="仿宋"/>
          <w:b w:val="0"/>
          <w:bCs/>
          <w:i w:val="0"/>
          <w:caps w:val="0"/>
          <w:color w:val="auto"/>
          <w:spacing w:val="0"/>
          <w:sz w:val="32"/>
          <w:szCs w:val="32"/>
          <w:shd w:val="clear" w:color="auto" w:fill="FFFFFF"/>
          <w:vertAlign w:val="subscript"/>
          <w:lang w:val="en-US" w:eastAsia="zh-CN"/>
        </w:rPr>
        <w:t>2</w:t>
      </w:r>
      <w:r>
        <w:rPr>
          <w:rFonts w:hint="eastAsia" w:ascii="仿宋" w:hAnsi="仿宋" w:eastAsia="仿宋" w:cs="仿宋"/>
          <w:b w:val="0"/>
          <w:bCs/>
          <w:i w:val="0"/>
          <w:caps w:val="0"/>
          <w:color w:val="auto"/>
          <w:spacing w:val="0"/>
          <w:sz w:val="32"/>
          <w:szCs w:val="32"/>
          <w:shd w:val="clear" w:color="auto" w:fill="FFFFFF"/>
          <w:lang w:val="en-US" w:eastAsia="zh-CN"/>
        </w:rPr>
        <w:t>再创我市有监测记录以来最低值，其中PM</w:t>
      </w:r>
      <w:r>
        <w:rPr>
          <w:rFonts w:hint="eastAsia" w:ascii="仿宋" w:hAnsi="仿宋" w:eastAsia="仿宋" w:cs="仿宋"/>
          <w:b w:val="0"/>
          <w:bCs/>
          <w:i w:val="0"/>
          <w:caps w:val="0"/>
          <w:color w:val="auto"/>
          <w:spacing w:val="0"/>
          <w:sz w:val="32"/>
          <w:szCs w:val="32"/>
          <w:shd w:val="clear" w:color="auto" w:fill="FFFFFF"/>
          <w:vertAlign w:val="subscript"/>
          <w:lang w:val="en-US" w:eastAsia="zh-CN"/>
        </w:rPr>
        <w:t>2.5</w:t>
      </w:r>
      <w:r>
        <w:rPr>
          <w:rFonts w:hint="eastAsia" w:ascii="仿宋" w:hAnsi="仿宋" w:eastAsia="仿宋" w:cs="仿宋"/>
          <w:b w:val="0"/>
          <w:bCs/>
          <w:i w:val="0"/>
          <w:caps w:val="0"/>
          <w:color w:val="auto"/>
          <w:spacing w:val="0"/>
          <w:sz w:val="32"/>
          <w:szCs w:val="32"/>
          <w:shd w:val="clear" w:color="auto" w:fill="FFFFFF"/>
          <w:lang w:val="en-US" w:eastAsia="zh-CN"/>
        </w:rPr>
        <w:t>较去年下降1微克/立方米，达到历史最低水平；PM</w:t>
      </w:r>
      <w:r>
        <w:rPr>
          <w:rFonts w:hint="eastAsia" w:ascii="仿宋" w:hAnsi="仿宋" w:eastAsia="仿宋" w:cs="仿宋"/>
          <w:b w:val="0"/>
          <w:bCs/>
          <w:i w:val="0"/>
          <w:caps w:val="0"/>
          <w:color w:val="auto"/>
          <w:spacing w:val="0"/>
          <w:sz w:val="32"/>
          <w:szCs w:val="32"/>
          <w:shd w:val="clear" w:color="auto" w:fill="FFFFFF"/>
          <w:vertAlign w:val="subscript"/>
          <w:lang w:val="en-US" w:eastAsia="zh-CN"/>
        </w:rPr>
        <w:t>10</w:t>
      </w:r>
      <w:r>
        <w:rPr>
          <w:rFonts w:hint="eastAsia" w:ascii="仿宋" w:hAnsi="仿宋" w:eastAsia="仿宋" w:cs="仿宋"/>
          <w:b w:val="0"/>
          <w:bCs/>
          <w:i w:val="0"/>
          <w:caps w:val="0"/>
          <w:color w:val="auto"/>
          <w:spacing w:val="0"/>
          <w:sz w:val="32"/>
          <w:szCs w:val="32"/>
          <w:shd w:val="clear" w:color="auto" w:fill="FFFFFF"/>
          <w:lang w:val="en-US" w:eastAsia="zh-CN"/>
        </w:rPr>
        <w:t>较去年下降2微克/立方米；NO</w:t>
      </w:r>
      <w:r>
        <w:rPr>
          <w:rFonts w:hint="eastAsia" w:ascii="仿宋" w:hAnsi="仿宋" w:eastAsia="仿宋" w:cs="仿宋"/>
          <w:b w:val="0"/>
          <w:bCs/>
          <w:i w:val="0"/>
          <w:caps w:val="0"/>
          <w:color w:val="auto"/>
          <w:spacing w:val="0"/>
          <w:sz w:val="32"/>
          <w:szCs w:val="32"/>
          <w:shd w:val="clear" w:color="auto" w:fill="FFFFFF"/>
          <w:vertAlign w:val="subscript"/>
          <w:lang w:val="en-US" w:eastAsia="zh-CN"/>
        </w:rPr>
        <w:t>2</w:t>
      </w:r>
      <w:r>
        <w:rPr>
          <w:rFonts w:hint="eastAsia" w:ascii="仿宋" w:hAnsi="仿宋" w:eastAsia="仿宋" w:cs="仿宋"/>
          <w:b w:val="0"/>
          <w:bCs/>
          <w:i w:val="0"/>
          <w:caps w:val="0"/>
          <w:color w:val="auto"/>
          <w:spacing w:val="0"/>
          <w:sz w:val="32"/>
          <w:szCs w:val="32"/>
          <w:shd w:val="clear" w:color="auto" w:fill="FFFFFF"/>
          <w:lang w:val="en-US" w:eastAsia="zh-CN"/>
        </w:rPr>
        <w:t>首次降到个位数；SO</w:t>
      </w:r>
      <w:r>
        <w:rPr>
          <w:rFonts w:hint="eastAsia" w:ascii="仿宋" w:hAnsi="仿宋" w:eastAsia="仿宋" w:cs="仿宋"/>
          <w:b w:val="0"/>
          <w:bCs/>
          <w:i w:val="0"/>
          <w:caps w:val="0"/>
          <w:color w:val="auto"/>
          <w:spacing w:val="0"/>
          <w:sz w:val="32"/>
          <w:szCs w:val="32"/>
          <w:shd w:val="clear" w:color="auto" w:fill="FFFFFF"/>
          <w:vertAlign w:val="subscript"/>
          <w:lang w:val="en-US" w:eastAsia="zh-CN"/>
        </w:rPr>
        <w:t>2</w:t>
      </w:r>
      <w:r>
        <w:rPr>
          <w:rFonts w:hint="eastAsia" w:ascii="仿宋" w:hAnsi="仿宋" w:eastAsia="仿宋" w:cs="仿宋"/>
          <w:b w:val="0"/>
          <w:bCs/>
          <w:i w:val="0"/>
          <w:caps w:val="0"/>
          <w:color w:val="auto"/>
          <w:spacing w:val="0"/>
          <w:sz w:val="32"/>
          <w:szCs w:val="32"/>
          <w:shd w:val="clear" w:color="auto" w:fill="FFFFFF"/>
          <w:lang w:val="en-US" w:eastAsia="zh-CN"/>
        </w:rPr>
        <w:t>继续保持历史最优水平。城市集中式饮用水水源水质达标率均为100%，地表水国控、省控断面水质达标率均为100%。城镇内河（湖）监测断面33个，水质达标率100%。国家认定的我市19个黑臭水体，黑臭消除率100%。</w:t>
      </w:r>
    </w:p>
    <w:p>
      <w:pPr>
        <w:pStyle w:val="28"/>
        <w:keepNext w:val="0"/>
        <w:keepLines w:val="0"/>
        <w:pageBreakBefore w:val="0"/>
        <w:widowControl/>
        <w:kinsoku/>
        <w:wordWrap/>
        <w:overflowPunct/>
        <w:topLinePunct w:val="0"/>
        <w:autoSpaceDE/>
        <w:autoSpaceDN/>
        <w:bidi w:val="0"/>
        <w:adjustRightInd/>
        <w:snapToGrid/>
        <w:spacing w:after="0" w:line="540" w:lineRule="exact"/>
        <w:ind w:left="0" w:leftChars="0" w:firstLine="560" w:firstLineChars="200"/>
        <w:rPr>
          <w:rFonts w:hint="eastAsia" w:ascii="仿宋" w:hAnsi="仿宋" w:eastAsia="仿宋" w:cs="仿宋"/>
          <w:color w:val="auto"/>
          <w:sz w:val="28"/>
          <w:szCs w:val="28"/>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pacing w:val="20"/>
          <w:sz w:val="24"/>
          <w:szCs w:val="24"/>
          <w:shd w:val="clear" w:color="auto" w:fill="FFFFFF"/>
        </w:rPr>
      </w:pPr>
      <w:r>
        <w:rPr>
          <w:rFonts w:hint="eastAsia" w:ascii="黑体" w:hAnsi="黑体" w:eastAsia="黑体" w:cs="黑体"/>
          <w:color w:val="auto"/>
          <w:spacing w:val="20"/>
          <w:sz w:val="24"/>
          <w:szCs w:val="24"/>
          <w:shd w:val="clear" w:color="auto" w:fill="FFFFFF"/>
        </w:rPr>
        <w:t>注释：</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r>
        <w:rPr>
          <w:rFonts w:hint="eastAsia" w:ascii="楷体" w:hAnsi="楷体" w:eastAsia="楷体" w:cs="楷体"/>
          <w:color w:val="auto"/>
          <w:spacing w:val="20"/>
          <w:sz w:val="24"/>
          <w:szCs w:val="24"/>
          <w:shd w:val="clear" w:color="auto" w:fill="FFFFFF"/>
          <w:lang w:val="en-US" w:eastAsia="zh-CN"/>
        </w:rPr>
        <w:t>1.</w:t>
      </w:r>
      <w:r>
        <w:rPr>
          <w:rFonts w:hint="eastAsia" w:ascii="楷体" w:hAnsi="楷体" w:eastAsia="楷体" w:cs="楷体"/>
          <w:color w:val="auto"/>
          <w:spacing w:val="20"/>
          <w:sz w:val="24"/>
          <w:szCs w:val="24"/>
          <w:shd w:val="clear" w:color="auto" w:fill="FFFFFF"/>
        </w:rPr>
        <w:t>本公报部分数据为初步统计数，部分数据为预计数，最终核实数以中国统计出版社出版的《海口统计</w:t>
      </w:r>
      <w:r>
        <w:rPr>
          <w:rFonts w:hint="eastAsia" w:ascii="楷体" w:hAnsi="楷体" w:eastAsia="楷体" w:cs="楷体"/>
          <w:color w:val="auto"/>
          <w:spacing w:val="20"/>
          <w:sz w:val="24"/>
          <w:szCs w:val="24"/>
          <w:shd w:val="clear" w:color="auto" w:fill="FFFFFF"/>
          <w:lang w:eastAsia="zh-CN"/>
        </w:rPr>
        <w:t>年</w:t>
      </w:r>
      <w:r>
        <w:rPr>
          <w:rFonts w:hint="eastAsia" w:ascii="楷体" w:hAnsi="楷体" w:eastAsia="楷体" w:cs="楷体"/>
          <w:color w:val="auto"/>
          <w:spacing w:val="20"/>
          <w:sz w:val="24"/>
          <w:szCs w:val="24"/>
          <w:shd w:val="clear" w:color="auto" w:fill="FFFFFF"/>
        </w:rPr>
        <w:t>鉴</w:t>
      </w:r>
      <w:r>
        <w:rPr>
          <w:rFonts w:hint="eastAsia" w:ascii="楷体" w:hAnsi="楷体" w:eastAsia="楷体" w:cs="楷体"/>
          <w:color w:val="auto"/>
          <w:spacing w:val="20"/>
          <w:sz w:val="24"/>
          <w:szCs w:val="24"/>
          <w:shd w:val="clear" w:color="auto" w:fill="FFFFFF"/>
          <w:lang w:val="en-US" w:eastAsia="zh-CN"/>
        </w:rPr>
        <w:t>2023</w:t>
      </w:r>
      <w:r>
        <w:rPr>
          <w:rFonts w:hint="eastAsia" w:ascii="楷体" w:hAnsi="楷体" w:eastAsia="楷体" w:cs="楷体"/>
          <w:color w:val="auto"/>
          <w:spacing w:val="20"/>
          <w:sz w:val="24"/>
          <w:szCs w:val="24"/>
          <w:shd w:val="clear" w:color="auto" w:fill="FFFFFF"/>
        </w:rPr>
        <w:t>》公布的数据为准；</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r>
        <w:rPr>
          <w:rFonts w:hint="eastAsia" w:ascii="楷体" w:hAnsi="楷体" w:eastAsia="楷体" w:cs="楷体"/>
          <w:color w:val="auto"/>
          <w:spacing w:val="20"/>
          <w:sz w:val="24"/>
          <w:szCs w:val="24"/>
          <w:shd w:val="clear" w:color="auto" w:fill="FFFFFF"/>
          <w:lang w:val="en-US" w:eastAsia="zh-CN"/>
        </w:rPr>
        <w:t>2.</w:t>
      </w:r>
      <w:r>
        <w:rPr>
          <w:rFonts w:hint="eastAsia" w:ascii="楷体" w:hAnsi="楷体" w:eastAsia="楷体" w:cs="楷体"/>
          <w:color w:val="auto"/>
          <w:spacing w:val="20"/>
          <w:sz w:val="24"/>
          <w:szCs w:val="24"/>
          <w:shd w:val="clear" w:color="auto" w:fill="FFFFFF"/>
        </w:rPr>
        <w:t>地区生产总值和各产业增加值绝对数按现行价格计算，增长速度按可比价格计算。根据《国民经济行业分类》（GB/T4754-2011）对三次产业进行划分；</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r>
        <w:rPr>
          <w:rFonts w:hint="eastAsia" w:ascii="楷体" w:hAnsi="楷体" w:eastAsia="楷体" w:cs="楷体"/>
          <w:color w:val="auto"/>
          <w:spacing w:val="20"/>
          <w:sz w:val="24"/>
          <w:szCs w:val="24"/>
          <w:shd w:val="clear" w:color="auto" w:fill="FFFFFF"/>
          <w:lang w:val="en-US" w:eastAsia="zh-CN"/>
        </w:rPr>
        <w:t>3.</w:t>
      </w:r>
      <w:r>
        <w:rPr>
          <w:rFonts w:hint="eastAsia" w:ascii="楷体" w:hAnsi="楷体" w:eastAsia="楷体" w:cs="楷体"/>
          <w:color w:val="auto"/>
          <w:spacing w:val="20"/>
          <w:sz w:val="24"/>
          <w:szCs w:val="24"/>
          <w:shd w:val="clear" w:color="auto" w:fill="FFFFFF"/>
        </w:rPr>
        <w:t>本公报中部分指标合计数与分项数有出入主要是由于四舍五入的原因，均未作机械调整。</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r>
        <w:rPr>
          <w:rFonts w:hint="eastAsia" w:ascii="楷体" w:hAnsi="楷体" w:eastAsia="楷体" w:cs="楷体"/>
          <w:color w:val="auto"/>
          <w:spacing w:val="20"/>
          <w:sz w:val="24"/>
          <w:szCs w:val="24"/>
          <w:shd w:val="clear" w:color="auto" w:fill="FFFFFF"/>
        </w:rPr>
        <w:t>资料来源：</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rPr>
      </w:pPr>
      <w:r>
        <w:rPr>
          <w:rFonts w:hint="eastAsia" w:ascii="楷体" w:hAnsi="楷体" w:eastAsia="楷体" w:cs="楷体"/>
          <w:color w:val="auto"/>
          <w:spacing w:val="20"/>
          <w:sz w:val="24"/>
          <w:szCs w:val="24"/>
          <w:shd w:val="clear" w:color="auto" w:fill="FFFFFF"/>
        </w:rPr>
        <w:t>本公报中财政数据来自市财政局，江东新区规划建设数据来自市江东新区管理局，价格和居民收入数据来自国家统计局海口调查队，招商引资、</w:t>
      </w:r>
      <w:r>
        <w:rPr>
          <w:rFonts w:hint="eastAsia" w:ascii="楷体" w:hAnsi="楷体" w:eastAsia="楷体" w:cs="楷体"/>
          <w:color w:val="auto"/>
          <w:spacing w:val="20"/>
          <w:sz w:val="24"/>
          <w:szCs w:val="24"/>
          <w:shd w:val="clear" w:color="auto" w:fill="FFFFFF"/>
          <w:lang w:eastAsia="zh-CN"/>
        </w:rPr>
        <w:t>总部经济、</w:t>
      </w:r>
      <w:r>
        <w:rPr>
          <w:rFonts w:hint="eastAsia" w:ascii="楷体" w:hAnsi="楷体" w:eastAsia="楷体" w:cs="楷体"/>
          <w:color w:val="auto"/>
          <w:spacing w:val="20"/>
          <w:sz w:val="24"/>
          <w:szCs w:val="24"/>
          <w:shd w:val="clear" w:color="auto" w:fill="FFFFFF"/>
        </w:rPr>
        <w:t>对外经济和会展数据来自市商务局</w:t>
      </w:r>
      <w:r>
        <w:rPr>
          <w:rFonts w:hint="eastAsia" w:ascii="楷体" w:hAnsi="楷体" w:eastAsia="楷体" w:cs="楷体"/>
          <w:color w:val="auto"/>
          <w:spacing w:val="20"/>
          <w:sz w:val="24"/>
          <w:szCs w:val="24"/>
          <w:shd w:val="clear" w:color="auto" w:fill="FFFFFF"/>
          <w:lang w:eastAsia="zh-CN"/>
        </w:rPr>
        <w:t>、市投促局</w:t>
      </w:r>
      <w:r>
        <w:rPr>
          <w:rFonts w:hint="eastAsia" w:ascii="楷体" w:hAnsi="楷体" w:eastAsia="楷体" w:cs="楷体"/>
          <w:color w:val="auto"/>
          <w:spacing w:val="20"/>
          <w:sz w:val="24"/>
          <w:szCs w:val="24"/>
          <w:shd w:val="clear" w:color="auto" w:fill="FFFFFF"/>
        </w:rPr>
        <w:t>，进出口数据来自海口海关，</w:t>
      </w:r>
      <w:r>
        <w:rPr>
          <w:rFonts w:hint="eastAsia" w:ascii="楷体" w:hAnsi="楷体" w:eastAsia="楷体" w:cs="楷体"/>
          <w:color w:val="auto"/>
          <w:spacing w:val="20"/>
          <w:sz w:val="24"/>
          <w:szCs w:val="24"/>
          <w:shd w:val="clear" w:color="auto" w:fill="FFFFFF"/>
          <w:lang w:eastAsia="zh-CN"/>
        </w:rPr>
        <w:t>市场主体数据来自</w:t>
      </w:r>
      <w:r>
        <w:rPr>
          <w:rFonts w:hint="eastAsia" w:ascii="楷体" w:hAnsi="楷体" w:eastAsia="楷体" w:cs="楷体"/>
          <w:color w:val="auto"/>
          <w:spacing w:val="20"/>
          <w:sz w:val="24"/>
          <w:szCs w:val="24"/>
          <w:shd w:val="clear" w:color="auto" w:fill="FFFFFF"/>
        </w:rPr>
        <w:t>市市场监督管理局</w:t>
      </w:r>
      <w:r>
        <w:rPr>
          <w:rFonts w:hint="eastAsia" w:ascii="楷体" w:hAnsi="楷体" w:eastAsia="楷体" w:cs="楷体"/>
          <w:color w:val="auto"/>
          <w:spacing w:val="20"/>
          <w:sz w:val="24"/>
          <w:szCs w:val="24"/>
          <w:shd w:val="clear" w:color="auto" w:fill="FFFFFF"/>
          <w:lang w:eastAsia="zh-CN"/>
        </w:rPr>
        <w:t>，</w:t>
      </w:r>
      <w:r>
        <w:rPr>
          <w:rFonts w:hint="eastAsia" w:ascii="楷体" w:hAnsi="楷体" w:eastAsia="楷体" w:cs="楷体"/>
          <w:color w:val="auto"/>
          <w:spacing w:val="20"/>
          <w:sz w:val="24"/>
          <w:szCs w:val="24"/>
          <w:shd w:val="clear" w:color="auto" w:fill="FFFFFF"/>
        </w:rPr>
        <w:t>货物、旅客运输及周转量、港口吞吐量数据来自市交通港航局、粤海铁公司、南航海南公司、海航公司，邮电通信数据来自市邮政管理局、移动海南公司、电信海南公司、联通海南公司，旅游、文化和体育数据来自市旅文局，社会保险和就业数据来自市人社局，医疗保险数据来自市医疗保障局，教育数据来自市教育局，医疗卫生数据来自市卫健委，</w:t>
      </w:r>
      <w:r>
        <w:rPr>
          <w:rFonts w:hint="eastAsia" w:ascii="楷体" w:hAnsi="楷体" w:eastAsia="楷体" w:cs="楷体"/>
          <w:color w:val="auto"/>
          <w:spacing w:val="20"/>
          <w:sz w:val="24"/>
          <w:szCs w:val="24"/>
          <w:shd w:val="clear" w:color="auto" w:fill="FFFFFF"/>
          <w:lang w:eastAsia="zh-CN"/>
        </w:rPr>
        <w:t>乡村振兴</w:t>
      </w:r>
      <w:r>
        <w:rPr>
          <w:rFonts w:hint="eastAsia" w:ascii="楷体" w:hAnsi="楷体" w:eastAsia="楷体" w:cs="楷体"/>
          <w:color w:val="auto"/>
          <w:spacing w:val="20"/>
          <w:sz w:val="24"/>
          <w:szCs w:val="24"/>
          <w:shd w:val="clear" w:color="auto" w:fill="FFFFFF"/>
        </w:rPr>
        <w:t>数据来自市</w:t>
      </w:r>
      <w:r>
        <w:rPr>
          <w:rFonts w:hint="eastAsia" w:ascii="楷体" w:hAnsi="楷体" w:eastAsia="楷体" w:cs="楷体"/>
          <w:color w:val="auto"/>
          <w:spacing w:val="20"/>
          <w:sz w:val="24"/>
          <w:szCs w:val="24"/>
          <w:shd w:val="clear" w:color="auto" w:fill="FFFFFF"/>
          <w:lang w:eastAsia="zh-CN"/>
        </w:rPr>
        <w:t>农业农村局、市乡村振兴局、市供销社</w:t>
      </w:r>
      <w:r>
        <w:rPr>
          <w:rFonts w:hint="eastAsia" w:ascii="楷体" w:hAnsi="楷体" w:eastAsia="楷体" w:cs="楷体"/>
          <w:color w:val="auto"/>
          <w:spacing w:val="20"/>
          <w:sz w:val="24"/>
          <w:szCs w:val="24"/>
          <w:shd w:val="clear" w:color="auto" w:fill="FFFFFF"/>
        </w:rPr>
        <w:t>，科技数据来自市市场监督管理局和市科工信局，环境保护数据来自市生态环境局、市水务局和市园林环卫局，安全生产数据来自市应急管理局，金融、保险和证券</w:t>
      </w:r>
      <w:r>
        <w:rPr>
          <w:rFonts w:hint="eastAsia" w:ascii="楷体" w:hAnsi="楷体" w:eastAsia="楷体" w:cs="楷体"/>
          <w:color w:val="auto"/>
          <w:spacing w:val="20"/>
          <w:sz w:val="24"/>
          <w:szCs w:val="24"/>
          <w:shd w:val="clear" w:color="auto" w:fill="FFFFFF"/>
          <w:lang w:eastAsia="zh-CN"/>
        </w:rPr>
        <w:t>数据来自市金融管理局，</w:t>
      </w:r>
      <w:r>
        <w:rPr>
          <w:rFonts w:hint="eastAsia" w:ascii="楷体" w:hAnsi="楷体" w:eastAsia="楷体" w:cs="楷体"/>
          <w:color w:val="auto"/>
          <w:spacing w:val="20"/>
          <w:sz w:val="24"/>
          <w:szCs w:val="24"/>
          <w:shd w:val="clear" w:color="auto" w:fill="FFFFFF"/>
        </w:rPr>
        <w:t>金融机构数据来自中国人民银行海口中心支行，保险保费收入数据来自中国银行保险监督管理委员会海南监管局，证券交易金额数据来自中国证券监督管理委员会海南监管局，其他数据均来自市统计局。</w:t>
      </w:r>
    </w:p>
    <w:p>
      <w:pPr>
        <w:ind w:left="0" w:leftChars="0"/>
        <w:jc w:val="both"/>
        <w:rPr>
          <w:rFonts w:hint="eastAsia" w:ascii="仿宋" w:hAnsi="仿宋" w:eastAsia="仿宋" w:cs="仿宋"/>
          <w:color w:val="auto"/>
          <w:spacing w:val="20"/>
          <w:sz w:val="28"/>
          <w:szCs w:val="28"/>
          <w:lang w:val="en"/>
        </w:rPr>
      </w:pPr>
    </w:p>
    <w:p>
      <w:pPr>
        <w:spacing w:line="276" w:lineRule="auto"/>
        <w:ind w:left="0" w:leftChars="0"/>
        <w:jc w:val="both"/>
        <w:rPr>
          <w:rFonts w:hint="eastAsia" w:ascii="仿宋" w:hAnsi="仿宋" w:eastAsia="仿宋" w:cs="仿宋"/>
          <w:color w:val="auto"/>
          <w:spacing w:val="20"/>
          <w:sz w:val="28"/>
          <w:szCs w:val="28"/>
          <w:lang w:val="e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2000019F"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31071120"/>
                            <w:docPartObj>
                              <w:docPartGallery w:val="autotext"/>
                            </w:docPartObj>
                          </w:sdtPr>
                          <w:sdtEndPr>
                            <w:rPr>
                              <w:rFonts w:hint="eastAsia" w:ascii="仿宋" w:hAnsi="仿宋" w:eastAsia="仿宋" w:cs="仿宋"/>
                              <w:sz w:val="28"/>
                              <w:szCs w:val="28"/>
                            </w:rPr>
                          </w:sdtEndPr>
                          <w:sdtContent>
                            <w:p>
                              <w:pPr>
                                <w:pStyle w:val="17"/>
                                <w:jc w:val="left"/>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w:t>
                              </w:r>
                              <w:r>
                                <w:rPr>
                                  <w:rFonts w:hint="eastAsia" w:ascii="仿宋" w:hAnsi="仿宋" w:eastAsia="仿宋" w:cs="仿宋"/>
                                  <w:sz w:val="28"/>
                                  <w:szCs w:val="28"/>
                                </w:rPr>
                                <w:t xml:space="preserve"> 1 -</w:t>
                              </w:r>
                              <w:r>
                                <w:rPr>
                                  <w:rFonts w:hint="eastAsia" w:ascii="仿宋" w:hAnsi="仿宋" w:eastAsia="仿宋" w:cs="仿宋"/>
                                  <w:sz w:val="28"/>
                                  <w:szCs w:val="28"/>
                                </w:rPr>
                                <w:fldChar w:fldCharType="end"/>
                              </w:r>
                            </w:p>
                          </w:sdtContent>
                        </w:sdt>
                        <w:p>
                          <w:pPr>
                            <w:pStyle w:val="2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sdt>
                    <w:sdtPr>
                      <w:id w:val="1531071120"/>
                      <w:docPartObj>
                        <w:docPartGallery w:val="autotext"/>
                      </w:docPartObj>
                    </w:sdtPr>
                    <w:sdtEndPr>
                      <w:rPr>
                        <w:rFonts w:hint="eastAsia" w:ascii="仿宋" w:hAnsi="仿宋" w:eastAsia="仿宋" w:cs="仿宋"/>
                        <w:sz w:val="28"/>
                        <w:szCs w:val="28"/>
                      </w:rPr>
                    </w:sdtEndPr>
                    <w:sdtContent>
                      <w:p>
                        <w:pPr>
                          <w:pStyle w:val="17"/>
                          <w:jc w:val="left"/>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w:t>
                        </w:r>
                        <w:r>
                          <w:rPr>
                            <w:rFonts w:hint="eastAsia" w:ascii="仿宋" w:hAnsi="仿宋" w:eastAsia="仿宋" w:cs="仿宋"/>
                            <w:sz w:val="28"/>
                            <w:szCs w:val="28"/>
                          </w:rPr>
                          <w:t xml:space="preserve"> 1 -</w:t>
                        </w:r>
                        <w:r>
                          <w:rPr>
                            <w:rFonts w:hint="eastAsia" w:ascii="仿宋" w:hAnsi="仿宋" w:eastAsia="仿宋" w:cs="仿宋"/>
                            <w:sz w:val="28"/>
                            <w:szCs w:val="28"/>
                          </w:rPr>
                          <w:fldChar w:fldCharType="end"/>
                        </w:r>
                      </w:p>
                    </w:sdtContent>
                  </w:sdt>
                  <w:p>
                    <w:pPr>
                      <w:pStyle w:val="28"/>
                    </w:pPr>
                  </w:p>
                </w:txbxContent>
              </v:textbox>
            </v:shape>
          </w:pict>
        </mc:Fallback>
      </mc:AlternateContent>
    </w:r>
  </w:p>
  <w:p>
    <w:pPr>
      <w:pStyle w:val="1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4ZWRjYmMwZjhlNjcxNDUwNDYyNWNiNTcyZjY3OTQifQ=="/>
    <w:docVar w:name="KSO_WPS_MARK_KEY" w:val="a2b9dae9-b220-4350-b7f3-c9011038e2c1"/>
  </w:docVars>
  <w:rsids>
    <w:rsidRoot w:val="10F07257"/>
    <w:rsid w:val="000301C7"/>
    <w:rsid w:val="00035EEB"/>
    <w:rsid w:val="00055E0E"/>
    <w:rsid w:val="0008182A"/>
    <w:rsid w:val="000B5553"/>
    <w:rsid w:val="001265C8"/>
    <w:rsid w:val="00142238"/>
    <w:rsid w:val="0018081C"/>
    <w:rsid w:val="001A25D1"/>
    <w:rsid w:val="001F3907"/>
    <w:rsid w:val="002102A3"/>
    <w:rsid w:val="00211CB6"/>
    <w:rsid w:val="00212C5E"/>
    <w:rsid w:val="002467AE"/>
    <w:rsid w:val="00254D8A"/>
    <w:rsid w:val="002819F5"/>
    <w:rsid w:val="002B23E4"/>
    <w:rsid w:val="002E3723"/>
    <w:rsid w:val="00300C05"/>
    <w:rsid w:val="0031448E"/>
    <w:rsid w:val="00344C52"/>
    <w:rsid w:val="003461F2"/>
    <w:rsid w:val="0035329C"/>
    <w:rsid w:val="0038779B"/>
    <w:rsid w:val="003933CA"/>
    <w:rsid w:val="00393DE1"/>
    <w:rsid w:val="003D24A7"/>
    <w:rsid w:val="003E0675"/>
    <w:rsid w:val="003E104B"/>
    <w:rsid w:val="0040361E"/>
    <w:rsid w:val="004152AD"/>
    <w:rsid w:val="00426ACA"/>
    <w:rsid w:val="00433018"/>
    <w:rsid w:val="00451B2D"/>
    <w:rsid w:val="00473F04"/>
    <w:rsid w:val="0048591E"/>
    <w:rsid w:val="004A0BDB"/>
    <w:rsid w:val="004A5B24"/>
    <w:rsid w:val="004C5505"/>
    <w:rsid w:val="004E1F50"/>
    <w:rsid w:val="004E6ED3"/>
    <w:rsid w:val="004F73E5"/>
    <w:rsid w:val="005049F2"/>
    <w:rsid w:val="005101A9"/>
    <w:rsid w:val="005203CE"/>
    <w:rsid w:val="00532CBD"/>
    <w:rsid w:val="00551405"/>
    <w:rsid w:val="00573DF8"/>
    <w:rsid w:val="005913CF"/>
    <w:rsid w:val="005B6B1D"/>
    <w:rsid w:val="005E6077"/>
    <w:rsid w:val="005E6BA1"/>
    <w:rsid w:val="006201A4"/>
    <w:rsid w:val="006244EC"/>
    <w:rsid w:val="0063068F"/>
    <w:rsid w:val="00684156"/>
    <w:rsid w:val="006A4D16"/>
    <w:rsid w:val="006C065C"/>
    <w:rsid w:val="007441A7"/>
    <w:rsid w:val="007629EE"/>
    <w:rsid w:val="00777802"/>
    <w:rsid w:val="007918A8"/>
    <w:rsid w:val="008001EA"/>
    <w:rsid w:val="0082137B"/>
    <w:rsid w:val="00837C7A"/>
    <w:rsid w:val="00847578"/>
    <w:rsid w:val="00875CA1"/>
    <w:rsid w:val="00883366"/>
    <w:rsid w:val="008A68EB"/>
    <w:rsid w:val="008C5146"/>
    <w:rsid w:val="008D2081"/>
    <w:rsid w:val="009143B9"/>
    <w:rsid w:val="00917C17"/>
    <w:rsid w:val="00971B56"/>
    <w:rsid w:val="009A7BC7"/>
    <w:rsid w:val="009B2F60"/>
    <w:rsid w:val="009B478D"/>
    <w:rsid w:val="009C15C1"/>
    <w:rsid w:val="009C192C"/>
    <w:rsid w:val="009F41C8"/>
    <w:rsid w:val="009F6E65"/>
    <w:rsid w:val="00A064D5"/>
    <w:rsid w:val="00A73E42"/>
    <w:rsid w:val="00AA0242"/>
    <w:rsid w:val="00AB1AC5"/>
    <w:rsid w:val="00AB2529"/>
    <w:rsid w:val="00AB288F"/>
    <w:rsid w:val="00AB6370"/>
    <w:rsid w:val="00AE599C"/>
    <w:rsid w:val="00AF7F7B"/>
    <w:rsid w:val="00B04469"/>
    <w:rsid w:val="00B271A9"/>
    <w:rsid w:val="00B36070"/>
    <w:rsid w:val="00B501C6"/>
    <w:rsid w:val="00B57DAD"/>
    <w:rsid w:val="00B73EEE"/>
    <w:rsid w:val="00B76D62"/>
    <w:rsid w:val="00BA42EA"/>
    <w:rsid w:val="00BB24CA"/>
    <w:rsid w:val="00BC264D"/>
    <w:rsid w:val="00BC62F1"/>
    <w:rsid w:val="00BD248A"/>
    <w:rsid w:val="00BE7675"/>
    <w:rsid w:val="00C00267"/>
    <w:rsid w:val="00C530A8"/>
    <w:rsid w:val="00C571DD"/>
    <w:rsid w:val="00C57228"/>
    <w:rsid w:val="00C812C2"/>
    <w:rsid w:val="00C83370"/>
    <w:rsid w:val="00C9589D"/>
    <w:rsid w:val="00CB31F2"/>
    <w:rsid w:val="00CD5495"/>
    <w:rsid w:val="00CE0AE2"/>
    <w:rsid w:val="00CF6F64"/>
    <w:rsid w:val="00D21A2A"/>
    <w:rsid w:val="00D5649C"/>
    <w:rsid w:val="00D578ED"/>
    <w:rsid w:val="00D629DF"/>
    <w:rsid w:val="00D80281"/>
    <w:rsid w:val="00D81C2A"/>
    <w:rsid w:val="00D879ED"/>
    <w:rsid w:val="00D93C92"/>
    <w:rsid w:val="00DA2BBD"/>
    <w:rsid w:val="00DB06DF"/>
    <w:rsid w:val="00E05930"/>
    <w:rsid w:val="00E152B0"/>
    <w:rsid w:val="00E163C4"/>
    <w:rsid w:val="00E24E2C"/>
    <w:rsid w:val="00E2646D"/>
    <w:rsid w:val="00E76B3B"/>
    <w:rsid w:val="00EB3F89"/>
    <w:rsid w:val="00EB7EB7"/>
    <w:rsid w:val="00EC3A6F"/>
    <w:rsid w:val="00EC6C3B"/>
    <w:rsid w:val="00EF112B"/>
    <w:rsid w:val="00EF2F15"/>
    <w:rsid w:val="00F175C6"/>
    <w:rsid w:val="00F4731D"/>
    <w:rsid w:val="00F639FA"/>
    <w:rsid w:val="00FB50E5"/>
    <w:rsid w:val="00FC0400"/>
    <w:rsid w:val="00FC5A80"/>
    <w:rsid w:val="00FC687D"/>
    <w:rsid w:val="00FD5833"/>
    <w:rsid w:val="00FE0A01"/>
    <w:rsid w:val="02433675"/>
    <w:rsid w:val="02714B77"/>
    <w:rsid w:val="02FF7C6D"/>
    <w:rsid w:val="03280EF8"/>
    <w:rsid w:val="03E6737E"/>
    <w:rsid w:val="03F51276"/>
    <w:rsid w:val="03F759F4"/>
    <w:rsid w:val="04765A9B"/>
    <w:rsid w:val="04C335CE"/>
    <w:rsid w:val="04C51326"/>
    <w:rsid w:val="05527B8C"/>
    <w:rsid w:val="0560013E"/>
    <w:rsid w:val="05FC576D"/>
    <w:rsid w:val="07D957A7"/>
    <w:rsid w:val="081C47E2"/>
    <w:rsid w:val="083E71A7"/>
    <w:rsid w:val="087D4A68"/>
    <w:rsid w:val="08B32A38"/>
    <w:rsid w:val="09645F3F"/>
    <w:rsid w:val="09EF2013"/>
    <w:rsid w:val="0A7E16F8"/>
    <w:rsid w:val="0A8A1883"/>
    <w:rsid w:val="0A8D5701"/>
    <w:rsid w:val="0B6D02B9"/>
    <w:rsid w:val="0C0109D6"/>
    <w:rsid w:val="0D897E36"/>
    <w:rsid w:val="0E4670B5"/>
    <w:rsid w:val="0E9029FF"/>
    <w:rsid w:val="0FC47022"/>
    <w:rsid w:val="107817A8"/>
    <w:rsid w:val="10F07257"/>
    <w:rsid w:val="11C6025A"/>
    <w:rsid w:val="12101C50"/>
    <w:rsid w:val="12380A2C"/>
    <w:rsid w:val="125B2C2D"/>
    <w:rsid w:val="13C57CB5"/>
    <w:rsid w:val="148610B9"/>
    <w:rsid w:val="14BB60DE"/>
    <w:rsid w:val="1558353C"/>
    <w:rsid w:val="17896EDE"/>
    <w:rsid w:val="18154982"/>
    <w:rsid w:val="1899BBA3"/>
    <w:rsid w:val="18F90F15"/>
    <w:rsid w:val="195A6C05"/>
    <w:rsid w:val="1B1BC373"/>
    <w:rsid w:val="1BE614F8"/>
    <w:rsid w:val="1BF5D203"/>
    <w:rsid w:val="1D036FD3"/>
    <w:rsid w:val="1D9850AD"/>
    <w:rsid w:val="1DB74C09"/>
    <w:rsid w:val="1E2732BF"/>
    <w:rsid w:val="1EBF35BD"/>
    <w:rsid w:val="1EE78EA8"/>
    <w:rsid w:val="1F437284"/>
    <w:rsid w:val="1F8970AC"/>
    <w:rsid w:val="1FD19BE8"/>
    <w:rsid w:val="204C2FC9"/>
    <w:rsid w:val="20916A0B"/>
    <w:rsid w:val="213847BA"/>
    <w:rsid w:val="219604D9"/>
    <w:rsid w:val="21AB58D2"/>
    <w:rsid w:val="22C7694C"/>
    <w:rsid w:val="23231D96"/>
    <w:rsid w:val="23264B0A"/>
    <w:rsid w:val="23BE199E"/>
    <w:rsid w:val="24044E64"/>
    <w:rsid w:val="26971D6D"/>
    <w:rsid w:val="27C40A90"/>
    <w:rsid w:val="27D40A78"/>
    <w:rsid w:val="282F77C0"/>
    <w:rsid w:val="2A022B07"/>
    <w:rsid w:val="2D2421AB"/>
    <w:rsid w:val="2DC80565"/>
    <w:rsid w:val="2DEC5317"/>
    <w:rsid w:val="2E453928"/>
    <w:rsid w:val="2E4A1F09"/>
    <w:rsid w:val="2EA77B5D"/>
    <w:rsid w:val="2EC314DF"/>
    <w:rsid w:val="2EE8585B"/>
    <w:rsid w:val="2F1F84C1"/>
    <w:rsid w:val="2F7E4AE9"/>
    <w:rsid w:val="2FBC5E66"/>
    <w:rsid w:val="2FFF92B6"/>
    <w:rsid w:val="30192405"/>
    <w:rsid w:val="303F663D"/>
    <w:rsid w:val="30524C6A"/>
    <w:rsid w:val="30B54863"/>
    <w:rsid w:val="314A4D76"/>
    <w:rsid w:val="31F97F95"/>
    <w:rsid w:val="32FF058F"/>
    <w:rsid w:val="33E30E95"/>
    <w:rsid w:val="33E72F22"/>
    <w:rsid w:val="3409609A"/>
    <w:rsid w:val="34654A2F"/>
    <w:rsid w:val="34944FE4"/>
    <w:rsid w:val="35236B0D"/>
    <w:rsid w:val="35690D78"/>
    <w:rsid w:val="35CC3100"/>
    <w:rsid w:val="35D35EC4"/>
    <w:rsid w:val="365009E6"/>
    <w:rsid w:val="36931FC8"/>
    <w:rsid w:val="36FF46BC"/>
    <w:rsid w:val="37F9B4A4"/>
    <w:rsid w:val="393E0D4E"/>
    <w:rsid w:val="3A6B6AE2"/>
    <w:rsid w:val="3A9401A3"/>
    <w:rsid w:val="3AF258BC"/>
    <w:rsid w:val="3BAD35A1"/>
    <w:rsid w:val="3BBF16F2"/>
    <w:rsid w:val="3BE15213"/>
    <w:rsid w:val="3C1F51CF"/>
    <w:rsid w:val="3C951173"/>
    <w:rsid w:val="3E17216F"/>
    <w:rsid w:val="3E7176E7"/>
    <w:rsid w:val="3EA77AC3"/>
    <w:rsid w:val="3EEFB127"/>
    <w:rsid w:val="3EF22775"/>
    <w:rsid w:val="3F6A0566"/>
    <w:rsid w:val="3FA6475E"/>
    <w:rsid w:val="3FBF0FA7"/>
    <w:rsid w:val="3FD77052"/>
    <w:rsid w:val="3FEF8D27"/>
    <w:rsid w:val="3FFBD408"/>
    <w:rsid w:val="40282AF1"/>
    <w:rsid w:val="40B06D2F"/>
    <w:rsid w:val="410517F8"/>
    <w:rsid w:val="418179C9"/>
    <w:rsid w:val="4222201C"/>
    <w:rsid w:val="43E22422"/>
    <w:rsid w:val="44606D4A"/>
    <w:rsid w:val="461521C5"/>
    <w:rsid w:val="46765C0C"/>
    <w:rsid w:val="46DB1C83"/>
    <w:rsid w:val="47687935"/>
    <w:rsid w:val="47A70BB9"/>
    <w:rsid w:val="48074B4D"/>
    <w:rsid w:val="4876582E"/>
    <w:rsid w:val="489E6FA2"/>
    <w:rsid w:val="48A72109"/>
    <w:rsid w:val="49170DBF"/>
    <w:rsid w:val="4AAF3352"/>
    <w:rsid w:val="4B1D18DA"/>
    <w:rsid w:val="4B5F6F8A"/>
    <w:rsid w:val="4B6F64EC"/>
    <w:rsid w:val="4BA54AD2"/>
    <w:rsid w:val="4BABCEC8"/>
    <w:rsid w:val="4BD10F70"/>
    <w:rsid w:val="4C101878"/>
    <w:rsid w:val="4C340A17"/>
    <w:rsid w:val="4D4F0EAB"/>
    <w:rsid w:val="4E5C6E1D"/>
    <w:rsid w:val="4E625361"/>
    <w:rsid w:val="4E754565"/>
    <w:rsid w:val="4F515061"/>
    <w:rsid w:val="4F9654FE"/>
    <w:rsid w:val="4FCF15AF"/>
    <w:rsid w:val="4FD06463"/>
    <w:rsid w:val="4FFEFBDC"/>
    <w:rsid w:val="5018136F"/>
    <w:rsid w:val="502E3BAF"/>
    <w:rsid w:val="51894824"/>
    <w:rsid w:val="51C55F88"/>
    <w:rsid w:val="52E44A4C"/>
    <w:rsid w:val="540D4010"/>
    <w:rsid w:val="54606F27"/>
    <w:rsid w:val="547E43A0"/>
    <w:rsid w:val="556343D0"/>
    <w:rsid w:val="5675066B"/>
    <w:rsid w:val="57867C67"/>
    <w:rsid w:val="57C3E003"/>
    <w:rsid w:val="5836637E"/>
    <w:rsid w:val="591A5AC6"/>
    <w:rsid w:val="59292BED"/>
    <w:rsid w:val="59330D43"/>
    <w:rsid w:val="59CD713B"/>
    <w:rsid w:val="59E978EB"/>
    <w:rsid w:val="5AD344BE"/>
    <w:rsid w:val="5BC2F6D5"/>
    <w:rsid w:val="5BFFAEB1"/>
    <w:rsid w:val="5C0D32B1"/>
    <w:rsid w:val="5C3F5C88"/>
    <w:rsid w:val="5C6B281F"/>
    <w:rsid w:val="5C7EE876"/>
    <w:rsid w:val="5C844566"/>
    <w:rsid w:val="5CAF0179"/>
    <w:rsid w:val="5CE62698"/>
    <w:rsid w:val="5D53798E"/>
    <w:rsid w:val="5D591684"/>
    <w:rsid w:val="5D6E7274"/>
    <w:rsid w:val="5DEC316C"/>
    <w:rsid w:val="5E0B6F62"/>
    <w:rsid w:val="5E236D4E"/>
    <w:rsid w:val="5E5B053B"/>
    <w:rsid w:val="5EABB47D"/>
    <w:rsid w:val="5EB02E17"/>
    <w:rsid w:val="5ED04705"/>
    <w:rsid w:val="5EE53F47"/>
    <w:rsid w:val="5F3E8545"/>
    <w:rsid w:val="5F8D486B"/>
    <w:rsid w:val="5FD73B2F"/>
    <w:rsid w:val="5FDBEEC3"/>
    <w:rsid w:val="5FDFA8FC"/>
    <w:rsid w:val="5FF4F2B5"/>
    <w:rsid w:val="60C1173A"/>
    <w:rsid w:val="62521299"/>
    <w:rsid w:val="62C65B17"/>
    <w:rsid w:val="636E2941"/>
    <w:rsid w:val="639F01D8"/>
    <w:rsid w:val="63A909C3"/>
    <w:rsid w:val="63FF8C5A"/>
    <w:rsid w:val="64BE18B7"/>
    <w:rsid w:val="65E80EF3"/>
    <w:rsid w:val="65FB8ADA"/>
    <w:rsid w:val="668840A9"/>
    <w:rsid w:val="66EEAD38"/>
    <w:rsid w:val="66F611E1"/>
    <w:rsid w:val="677FEAA4"/>
    <w:rsid w:val="68706833"/>
    <w:rsid w:val="69ED0EAF"/>
    <w:rsid w:val="6ACF745E"/>
    <w:rsid w:val="6B33053A"/>
    <w:rsid w:val="6B7D4766"/>
    <w:rsid w:val="6BF54915"/>
    <w:rsid w:val="6D3A5014"/>
    <w:rsid w:val="6FA5C5A9"/>
    <w:rsid w:val="6FBDC863"/>
    <w:rsid w:val="6FDFD9E5"/>
    <w:rsid w:val="6FF5D229"/>
    <w:rsid w:val="6FFF99E8"/>
    <w:rsid w:val="70DB2423"/>
    <w:rsid w:val="71313241"/>
    <w:rsid w:val="71895888"/>
    <w:rsid w:val="718E3C2E"/>
    <w:rsid w:val="71921E37"/>
    <w:rsid w:val="71A1480F"/>
    <w:rsid w:val="728E2F07"/>
    <w:rsid w:val="73BC4AE7"/>
    <w:rsid w:val="73FF56DA"/>
    <w:rsid w:val="744A4EE4"/>
    <w:rsid w:val="75F9B269"/>
    <w:rsid w:val="76506777"/>
    <w:rsid w:val="76F6DB8C"/>
    <w:rsid w:val="77522D09"/>
    <w:rsid w:val="77773DC7"/>
    <w:rsid w:val="77AEDD5B"/>
    <w:rsid w:val="77B2BE19"/>
    <w:rsid w:val="77FAB2B9"/>
    <w:rsid w:val="78500CC2"/>
    <w:rsid w:val="78E53775"/>
    <w:rsid w:val="79056ACF"/>
    <w:rsid w:val="795B5FC5"/>
    <w:rsid w:val="79FB49AE"/>
    <w:rsid w:val="7ABF4204"/>
    <w:rsid w:val="7AD07CCB"/>
    <w:rsid w:val="7BBFD6AB"/>
    <w:rsid w:val="7BC8498D"/>
    <w:rsid w:val="7BFE8E97"/>
    <w:rsid w:val="7CE7270D"/>
    <w:rsid w:val="7CE94D5E"/>
    <w:rsid w:val="7CFB3C43"/>
    <w:rsid w:val="7D5B61C9"/>
    <w:rsid w:val="7D5E37EC"/>
    <w:rsid w:val="7D772553"/>
    <w:rsid w:val="7D7F7202"/>
    <w:rsid w:val="7D8A7C19"/>
    <w:rsid w:val="7DDDB5F4"/>
    <w:rsid w:val="7DE9A496"/>
    <w:rsid w:val="7DEA7452"/>
    <w:rsid w:val="7DEF9235"/>
    <w:rsid w:val="7EB36BB4"/>
    <w:rsid w:val="7ECB95EA"/>
    <w:rsid w:val="7EEBE57F"/>
    <w:rsid w:val="7EFB5CD8"/>
    <w:rsid w:val="7F5A18FC"/>
    <w:rsid w:val="7F64AFE1"/>
    <w:rsid w:val="7F79C62E"/>
    <w:rsid w:val="7F7D5D41"/>
    <w:rsid w:val="7F7F7462"/>
    <w:rsid w:val="7F9FB3AF"/>
    <w:rsid w:val="7FB26EA1"/>
    <w:rsid w:val="7FBEAD6C"/>
    <w:rsid w:val="7FD7E10C"/>
    <w:rsid w:val="7FD9E391"/>
    <w:rsid w:val="7FEB4D2C"/>
    <w:rsid w:val="7FEF6BA9"/>
    <w:rsid w:val="7FFB67FB"/>
    <w:rsid w:val="7FFC222E"/>
    <w:rsid w:val="7FFF59D9"/>
    <w:rsid w:val="7FFF9DDB"/>
    <w:rsid w:val="7FFFB3C6"/>
    <w:rsid w:val="84E40E35"/>
    <w:rsid w:val="87F6418A"/>
    <w:rsid w:val="8DBBD0F3"/>
    <w:rsid w:val="8FFFC494"/>
    <w:rsid w:val="93DEB67D"/>
    <w:rsid w:val="95EB4B6F"/>
    <w:rsid w:val="96B916D5"/>
    <w:rsid w:val="97D77752"/>
    <w:rsid w:val="9BFE36DF"/>
    <w:rsid w:val="9DDFA575"/>
    <w:rsid w:val="A3F7224D"/>
    <w:rsid w:val="AFBB0C2B"/>
    <w:rsid w:val="B19F3AA7"/>
    <w:rsid w:val="B1FF95D2"/>
    <w:rsid w:val="B5F56F6A"/>
    <w:rsid w:val="B7F7EFF1"/>
    <w:rsid w:val="BBA58968"/>
    <w:rsid w:val="BCD7CCDF"/>
    <w:rsid w:val="BCEE9ABE"/>
    <w:rsid w:val="BDAF7D6C"/>
    <w:rsid w:val="BDE87EAE"/>
    <w:rsid w:val="BDEECA29"/>
    <w:rsid w:val="BEE73577"/>
    <w:rsid w:val="BF166974"/>
    <w:rsid w:val="BFFE72C2"/>
    <w:rsid w:val="BFFF13DE"/>
    <w:rsid w:val="C63B55EB"/>
    <w:rsid w:val="C98BC55A"/>
    <w:rsid w:val="CBA5C01D"/>
    <w:rsid w:val="CD5ACE72"/>
    <w:rsid w:val="CDFD15CB"/>
    <w:rsid w:val="CF9F634D"/>
    <w:rsid w:val="CFBFDF28"/>
    <w:rsid w:val="CFCFA2A9"/>
    <w:rsid w:val="D2327396"/>
    <w:rsid w:val="D61FD826"/>
    <w:rsid w:val="D73FC79F"/>
    <w:rsid w:val="D75FD31E"/>
    <w:rsid w:val="D7DDA0D8"/>
    <w:rsid w:val="DBE7793D"/>
    <w:rsid w:val="DD7E02D5"/>
    <w:rsid w:val="DDD344E1"/>
    <w:rsid w:val="DDEDEF24"/>
    <w:rsid w:val="DEE77C91"/>
    <w:rsid w:val="DFBE6F7D"/>
    <w:rsid w:val="DFDD8C17"/>
    <w:rsid w:val="DFF7CD70"/>
    <w:rsid w:val="DFFF2709"/>
    <w:rsid w:val="E5BFCB09"/>
    <w:rsid w:val="E7EEB69C"/>
    <w:rsid w:val="E87BD7A2"/>
    <w:rsid w:val="EDFFC6DB"/>
    <w:rsid w:val="EE1B85DD"/>
    <w:rsid w:val="EEFB549F"/>
    <w:rsid w:val="F09754AC"/>
    <w:rsid w:val="F2EF49C1"/>
    <w:rsid w:val="F2FA412A"/>
    <w:rsid w:val="F3DBD52E"/>
    <w:rsid w:val="F3F7D63B"/>
    <w:rsid w:val="F55F2F7F"/>
    <w:rsid w:val="F63E827A"/>
    <w:rsid w:val="F65FF4F3"/>
    <w:rsid w:val="F7AF8045"/>
    <w:rsid w:val="F7DF441C"/>
    <w:rsid w:val="F7EF372D"/>
    <w:rsid w:val="F7FB4E57"/>
    <w:rsid w:val="F7FD2A86"/>
    <w:rsid w:val="F9FF47B9"/>
    <w:rsid w:val="FAFF3B81"/>
    <w:rsid w:val="FAFFBF24"/>
    <w:rsid w:val="FB7FB677"/>
    <w:rsid w:val="FBDF4A61"/>
    <w:rsid w:val="FBFC7242"/>
    <w:rsid w:val="FC7D557A"/>
    <w:rsid w:val="FC8F69AE"/>
    <w:rsid w:val="FD7D956B"/>
    <w:rsid w:val="FD7F06BB"/>
    <w:rsid w:val="FDAC8AAD"/>
    <w:rsid w:val="FDBF9B9E"/>
    <w:rsid w:val="FDEFD7BC"/>
    <w:rsid w:val="FDF7431D"/>
    <w:rsid w:val="FE3F5520"/>
    <w:rsid w:val="FE5F632C"/>
    <w:rsid w:val="FEFAD05C"/>
    <w:rsid w:val="FEFFD867"/>
    <w:rsid w:val="FF4BAA9D"/>
    <w:rsid w:val="FFAF08F5"/>
    <w:rsid w:val="FFCB5016"/>
    <w:rsid w:val="FFF7B4DF"/>
    <w:rsid w:val="FFFF3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heme="minorHAnsi" w:hAnsiTheme="minorHAnsi" w:eastAsiaTheme="minorEastAsia" w:cstheme="minorBidi"/>
      <w:sz w:val="24"/>
      <w:szCs w:val="24"/>
      <w:lang w:val="en-US" w:eastAsia="zh-CN" w:bidi="ar-SA"/>
    </w:rPr>
  </w:style>
  <w:style w:type="paragraph" w:styleId="3">
    <w:name w:val="heading 1"/>
    <w:basedOn w:val="1"/>
    <w:next w:val="1"/>
    <w:link w:val="39"/>
    <w:qFormat/>
    <w:uiPriority w:val="9"/>
    <w:pPr>
      <w:keepNext/>
      <w:spacing w:before="240" w:after="60"/>
      <w:outlineLvl w:val="0"/>
    </w:pPr>
    <w:rPr>
      <w:rFonts w:cs="Times New Roman" w:asciiTheme="majorHAnsi" w:hAnsiTheme="majorHAnsi" w:eastAsiaTheme="majorEastAsia"/>
      <w:b/>
      <w:bCs/>
      <w:kern w:val="32"/>
      <w:sz w:val="32"/>
      <w:szCs w:val="32"/>
    </w:rPr>
  </w:style>
  <w:style w:type="paragraph" w:styleId="4">
    <w:name w:val="heading 2"/>
    <w:basedOn w:val="1"/>
    <w:next w:val="1"/>
    <w:link w:val="40"/>
    <w:unhideWhenUsed/>
    <w:qFormat/>
    <w:uiPriority w:val="9"/>
    <w:pPr>
      <w:keepNext/>
      <w:spacing w:before="240" w:after="60"/>
      <w:outlineLvl w:val="1"/>
    </w:pPr>
    <w:rPr>
      <w:rFonts w:cs="Times New Roman" w:asciiTheme="majorHAnsi" w:hAnsiTheme="majorHAnsi" w:eastAsiaTheme="majorEastAsia"/>
      <w:b/>
      <w:bCs/>
      <w:i/>
      <w:iCs/>
      <w:sz w:val="28"/>
      <w:szCs w:val="28"/>
    </w:rPr>
  </w:style>
  <w:style w:type="paragraph" w:styleId="5">
    <w:name w:val="heading 3"/>
    <w:basedOn w:val="1"/>
    <w:next w:val="1"/>
    <w:link w:val="41"/>
    <w:unhideWhenUsed/>
    <w:qFormat/>
    <w:uiPriority w:val="9"/>
    <w:pPr>
      <w:keepNext/>
      <w:spacing w:before="240" w:after="60"/>
      <w:outlineLvl w:val="2"/>
    </w:pPr>
    <w:rPr>
      <w:rFonts w:cs="Times New Roman" w:asciiTheme="majorHAnsi" w:hAnsiTheme="majorHAnsi" w:eastAsiaTheme="majorEastAsia"/>
      <w:b/>
      <w:bCs/>
      <w:sz w:val="26"/>
      <w:szCs w:val="26"/>
    </w:rPr>
  </w:style>
  <w:style w:type="paragraph" w:styleId="6">
    <w:name w:val="heading 4"/>
    <w:basedOn w:val="1"/>
    <w:next w:val="1"/>
    <w:link w:val="42"/>
    <w:unhideWhenUsed/>
    <w:qFormat/>
    <w:uiPriority w:val="9"/>
    <w:pPr>
      <w:keepNext/>
      <w:spacing w:before="240" w:after="60"/>
      <w:outlineLvl w:val="3"/>
    </w:pPr>
    <w:rPr>
      <w:rFonts w:cs="Times New Roman"/>
      <w:b/>
      <w:bCs/>
      <w:sz w:val="28"/>
      <w:szCs w:val="28"/>
    </w:rPr>
  </w:style>
  <w:style w:type="paragraph" w:styleId="7">
    <w:name w:val="heading 5"/>
    <w:basedOn w:val="1"/>
    <w:next w:val="1"/>
    <w:link w:val="43"/>
    <w:unhideWhenUsed/>
    <w:qFormat/>
    <w:uiPriority w:val="9"/>
    <w:pPr>
      <w:spacing w:before="240" w:after="60"/>
      <w:outlineLvl w:val="4"/>
    </w:pPr>
    <w:rPr>
      <w:rFonts w:cs="Times New Roman"/>
      <w:b/>
      <w:bCs/>
      <w:i/>
      <w:iCs/>
      <w:sz w:val="26"/>
      <w:szCs w:val="26"/>
    </w:rPr>
  </w:style>
  <w:style w:type="paragraph" w:styleId="8">
    <w:name w:val="heading 6"/>
    <w:basedOn w:val="1"/>
    <w:next w:val="1"/>
    <w:link w:val="44"/>
    <w:unhideWhenUsed/>
    <w:qFormat/>
    <w:uiPriority w:val="9"/>
    <w:pPr>
      <w:spacing w:before="240" w:after="60"/>
      <w:outlineLvl w:val="5"/>
    </w:pPr>
    <w:rPr>
      <w:rFonts w:cs="Times New Roman"/>
      <w:b/>
      <w:bCs/>
      <w:sz w:val="22"/>
      <w:szCs w:val="22"/>
    </w:rPr>
  </w:style>
  <w:style w:type="paragraph" w:styleId="9">
    <w:name w:val="heading 7"/>
    <w:basedOn w:val="1"/>
    <w:next w:val="1"/>
    <w:link w:val="45"/>
    <w:unhideWhenUsed/>
    <w:qFormat/>
    <w:uiPriority w:val="9"/>
    <w:pPr>
      <w:spacing w:before="240" w:after="60"/>
      <w:outlineLvl w:val="6"/>
    </w:pPr>
    <w:rPr>
      <w:rFonts w:cs="Times New Roman"/>
    </w:rPr>
  </w:style>
  <w:style w:type="paragraph" w:styleId="10">
    <w:name w:val="heading 8"/>
    <w:basedOn w:val="1"/>
    <w:next w:val="1"/>
    <w:link w:val="46"/>
    <w:unhideWhenUsed/>
    <w:qFormat/>
    <w:uiPriority w:val="9"/>
    <w:pPr>
      <w:spacing w:before="240" w:after="60"/>
      <w:outlineLvl w:val="7"/>
    </w:pPr>
    <w:rPr>
      <w:rFonts w:cs="Times New Roman"/>
      <w:i/>
      <w:iCs/>
    </w:rPr>
  </w:style>
  <w:style w:type="paragraph" w:styleId="11">
    <w:name w:val="heading 9"/>
    <w:basedOn w:val="1"/>
    <w:next w:val="1"/>
    <w:link w:val="47"/>
    <w:unhideWhenUsed/>
    <w:qFormat/>
    <w:uiPriority w:val="9"/>
    <w:pPr>
      <w:spacing w:before="240" w:after="60"/>
      <w:outlineLvl w:val="8"/>
    </w:pPr>
    <w:rPr>
      <w:rFonts w:cs="Times New Roman" w:asciiTheme="majorHAnsi" w:hAnsiTheme="majorHAnsi" w:eastAsiaTheme="majorEastAsia"/>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报告正文"/>
    <w:basedOn w:val="1"/>
    <w:qFormat/>
    <w:uiPriority w:val="0"/>
    <w:pPr>
      <w:ind w:firstLine="200"/>
    </w:pPr>
    <w:rPr>
      <w:rFonts w:ascii="Times New Roman" w:hAnsi="Times New Roman" w:eastAsia="宋体" w:cs="Times New Roman"/>
    </w:rPr>
  </w:style>
  <w:style w:type="paragraph" w:styleId="12">
    <w:name w:val="Normal Indent"/>
    <w:basedOn w:val="1"/>
    <w:next w:val="1"/>
    <w:qFormat/>
    <w:uiPriority w:val="0"/>
    <w:pPr>
      <w:ind w:firstLine="964" w:firstLineChars="200"/>
    </w:pPr>
  </w:style>
  <w:style w:type="paragraph" w:styleId="13">
    <w:name w:val="annotation text"/>
    <w:basedOn w:val="1"/>
    <w:qFormat/>
    <w:uiPriority w:val="0"/>
  </w:style>
  <w:style w:type="paragraph" w:styleId="14">
    <w:name w:val="Body Text"/>
    <w:basedOn w:val="1"/>
    <w:link w:val="38"/>
    <w:qFormat/>
    <w:uiPriority w:val="0"/>
    <w:pPr>
      <w:spacing w:after="120"/>
    </w:pPr>
    <w:rPr>
      <w:rFonts w:ascii="Times New Roman" w:hAnsi="Times New Roman" w:eastAsia="宋体" w:cs="Times New Roman"/>
    </w:rPr>
  </w:style>
  <w:style w:type="paragraph" w:styleId="15">
    <w:name w:val="Body Text Indent 2"/>
    <w:basedOn w:val="1"/>
    <w:link w:val="33"/>
    <w:qFormat/>
    <w:uiPriority w:val="0"/>
    <w:pPr>
      <w:ind w:firstLine="750"/>
    </w:pPr>
    <w:rPr>
      <w:rFonts w:ascii="宋体" w:hAnsi="宋体" w:eastAsia="宋体" w:cs="Times New Roman"/>
      <w:sz w:val="32"/>
      <w:szCs w:val="20"/>
    </w:rPr>
  </w:style>
  <w:style w:type="paragraph" w:styleId="16">
    <w:name w:val="Balloon Text"/>
    <w:basedOn w:val="1"/>
    <w:link w:val="61"/>
    <w:qFormat/>
    <w:uiPriority w:val="0"/>
    <w:rPr>
      <w:sz w:val="18"/>
      <w:szCs w:val="18"/>
    </w:rPr>
  </w:style>
  <w:style w:type="paragraph" w:styleId="17">
    <w:name w:val="footer"/>
    <w:basedOn w:val="1"/>
    <w:link w:val="31"/>
    <w:qFormat/>
    <w:uiPriority w:val="99"/>
    <w:pPr>
      <w:tabs>
        <w:tab w:val="center" w:pos="4153"/>
        <w:tab w:val="right" w:pos="8306"/>
      </w:tabs>
      <w:snapToGrid w:val="0"/>
    </w:pPr>
    <w:rPr>
      <w:sz w:val="18"/>
      <w:szCs w:val="18"/>
    </w:rPr>
  </w:style>
  <w:style w:type="paragraph" w:styleId="18">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49"/>
    <w:qFormat/>
    <w:uiPriority w:val="11"/>
    <w:pPr>
      <w:spacing w:after="60"/>
      <w:jc w:val="center"/>
      <w:outlineLvl w:val="1"/>
    </w:pPr>
    <w:rPr>
      <w:rFonts w:cs="Times New Roman" w:asciiTheme="majorHAnsi" w:hAnsiTheme="majorHAnsi" w:eastAsiaTheme="majorEastAsia"/>
    </w:r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qFormat/>
    <w:uiPriority w:val="0"/>
    <w:rPr>
      <w:rFonts w:ascii="Calibri" w:hAnsi="Calibri" w:eastAsia="宋体" w:cs="Times New Roman"/>
      <w:color w:val="FF9900"/>
    </w:rPr>
  </w:style>
  <w:style w:type="paragraph" w:styleId="22">
    <w:name w:val="Title"/>
    <w:basedOn w:val="1"/>
    <w:next w:val="1"/>
    <w:link w:val="48"/>
    <w:qFormat/>
    <w:uiPriority w:val="10"/>
    <w:pPr>
      <w:spacing w:before="240" w:after="60"/>
      <w:jc w:val="center"/>
      <w:outlineLvl w:val="0"/>
    </w:pPr>
    <w:rPr>
      <w:rFonts w:cs="Times New Roman" w:asciiTheme="majorHAnsi" w:hAnsiTheme="majorHAnsi" w:eastAsiaTheme="majorEastAsia"/>
      <w:b/>
      <w:bCs/>
      <w:kern w:val="28"/>
      <w:sz w:val="32"/>
      <w:szCs w:val="32"/>
    </w:rPr>
  </w:style>
  <w:style w:type="character" w:styleId="25">
    <w:name w:val="Strong"/>
    <w:basedOn w:val="24"/>
    <w:qFormat/>
    <w:uiPriority w:val="22"/>
    <w:rPr>
      <w:b/>
      <w:bCs/>
    </w:rPr>
  </w:style>
  <w:style w:type="character" w:styleId="26">
    <w:name w:val="Emphasis"/>
    <w:basedOn w:val="24"/>
    <w:qFormat/>
    <w:uiPriority w:val="20"/>
    <w:rPr>
      <w:rFonts w:asciiTheme="minorHAnsi" w:hAnsiTheme="minorHAnsi"/>
      <w:b/>
      <w:i/>
      <w:iCs/>
    </w:rPr>
  </w:style>
  <w:style w:type="character" w:styleId="27">
    <w:name w:val="annotation reference"/>
    <w:basedOn w:val="24"/>
    <w:qFormat/>
    <w:uiPriority w:val="0"/>
    <w:rPr>
      <w:sz w:val="21"/>
      <w:szCs w:val="21"/>
    </w:rPr>
  </w:style>
  <w:style w:type="paragraph" w:customStyle="1" w:styleId="28">
    <w:name w:val="BodyText1I2"/>
    <w:basedOn w:val="29"/>
    <w:qFormat/>
    <w:uiPriority w:val="0"/>
    <w:pPr>
      <w:ind w:firstLine="420" w:firstLineChars="200"/>
    </w:pPr>
    <w:rPr>
      <w:rFonts w:ascii="Calibri" w:hAnsi="Calibri" w:eastAsia="宋体" w:cs="Times New Roman"/>
    </w:rPr>
  </w:style>
  <w:style w:type="paragraph" w:customStyle="1" w:styleId="29">
    <w:name w:val="BodyTextIndent"/>
    <w:basedOn w:val="1"/>
    <w:qFormat/>
    <w:uiPriority w:val="0"/>
    <w:pPr>
      <w:spacing w:after="120"/>
      <w:ind w:left="420" w:leftChars="200"/>
      <w:jc w:val="both"/>
      <w:textAlignment w:val="baseline"/>
    </w:pPr>
  </w:style>
  <w:style w:type="character" w:customStyle="1" w:styleId="30">
    <w:name w:val="页眉 Char"/>
    <w:basedOn w:val="24"/>
    <w:link w:val="18"/>
    <w:qFormat/>
    <w:uiPriority w:val="0"/>
    <w:rPr>
      <w:rFonts w:asciiTheme="minorHAnsi" w:hAnsiTheme="minorHAnsi" w:eastAsiaTheme="minorEastAsia" w:cstheme="minorBidi"/>
      <w:kern w:val="2"/>
      <w:sz w:val="18"/>
      <w:szCs w:val="18"/>
    </w:rPr>
  </w:style>
  <w:style w:type="character" w:customStyle="1" w:styleId="31">
    <w:name w:val="页脚 Char"/>
    <w:basedOn w:val="24"/>
    <w:link w:val="17"/>
    <w:qFormat/>
    <w:uiPriority w:val="99"/>
    <w:rPr>
      <w:rFonts w:asciiTheme="minorHAnsi" w:hAnsiTheme="minorHAnsi" w:eastAsiaTheme="minorEastAsia" w:cstheme="minorBidi"/>
      <w:kern w:val="2"/>
      <w:sz w:val="18"/>
      <w:szCs w:val="18"/>
    </w:rPr>
  </w:style>
  <w:style w:type="paragraph" w:customStyle="1" w:styleId="32">
    <w:name w:val="列出段落1"/>
    <w:basedOn w:val="1"/>
    <w:qFormat/>
    <w:uiPriority w:val="34"/>
    <w:pPr>
      <w:ind w:left="720"/>
      <w:contextualSpacing/>
    </w:pPr>
  </w:style>
  <w:style w:type="character" w:customStyle="1" w:styleId="33">
    <w:name w:val="正文文本缩进 2 Char"/>
    <w:basedOn w:val="24"/>
    <w:link w:val="15"/>
    <w:qFormat/>
    <w:uiPriority w:val="0"/>
    <w:rPr>
      <w:rFonts w:ascii="宋体" w:hAnsi="宋体"/>
      <w:kern w:val="2"/>
      <w:sz w:val="32"/>
    </w:rPr>
  </w:style>
  <w:style w:type="character" w:customStyle="1" w:styleId="34">
    <w:name w:val="NormalCharacter"/>
    <w:link w:val="35"/>
    <w:qFormat/>
    <w:uiPriority w:val="0"/>
    <w:rPr>
      <w:rFonts w:ascii="仿宋_GB2312" w:eastAsia="仿宋_GB2312"/>
      <w:kern w:val="2"/>
      <w:sz w:val="32"/>
      <w:szCs w:val="32"/>
      <w:lang w:val="en-US" w:eastAsia="zh-CN" w:bidi="ar-SA"/>
    </w:rPr>
  </w:style>
  <w:style w:type="paragraph" w:customStyle="1" w:styleId="35">
    <w:name w:val="UserStyle_3"/>
    <w:basedOn w:val="1"/>
    <w:link w:val="34"/>
    <w:qFormat/>
    <w:uiPriority w:val="0"/>
    <w:pPr>
      <w:jc w:val="both"/>
      <w:textAlignment w:val="baseline"/>
    </w:pPr>
    <w:rPr>
      <w:rFonts w:ascii="仿宋_GB2312" w:eastAsia="仿宋_GB2312"/>
      <w:kern w:val="2"/>
      <w:sz w:val="32"/>
      <w:szCs w:val="32"/>
      <w:lang w:val="en-US" w:eastAsia="zh-CN" w:bidi="ar-SA"/>
    </w:rPr>
  </w:style>
  <w:style w:type="paragraph" w:customStyle="1" w:styleId="36">
    <w:name w:val="Char Char Char Char"/>
    <w:basedOn w:val="1"/>
    <w:qFormat/>
    <w:uiPriority w:val="0"/>
    <w:rPr>
      <w:rFonts w:ascii="Times New Roman" w:hAnsi="Times New Roman" w:eastAsia="宋体" w:cs="Times New Roman"/>
    </w:rPr>
  </w:style>
  <w:style w:type="paragraph" w:customStyle="1" w:styleId="37">
    <w:name w:val="列出段落2"/>
    <w:basedOn w:val="1"/>
    <w:unhideWhenUsed/>
    <w:qFormat/>
    <w:uiPriority w:val="99"/>
    <w:pPr>
      <w:ind w:firstLine="420" w:firstLineChars="200"/>
    </w:pPr>
    <w:rPr>
      <w:rFonts w:ascii="Calibri" w:hAnsi="Calibri" w:eastAsia="宋体" w:cs="Times New Roman"/>
    </w:rPr>
  </w:style>
  <w:style w:type="character" w:customStyle="1" w:styleId="38">
    <w:name w:val="正文文本 Char"/>
    <w:basedOn w:val="24"/>
    <w:link w:val="14"/>
    <w:qFormat/>
    <w:uiPriority w:val="0"/>
    <w:rPr>
      <w:rFonts w:ascii="Times New Roman" w:hAnsi="Times New Roman"/>
      <w:kern w:val="2"/>
      <w:sz w:val="21"/>
      <w:szCs w:val="24"/>
    </w:rPr>
  </w:style>
  <w:style w:type="character" w:customStyle="1" w:styleId="39">
    <w:name w:val="标题 1 Char"/>
    <w:basedOn w:val="24"/>
    <w:link w:val="3"/>
    <w:qFormat/>
    <w:uiPriority w:val="9"/>
    <w:rPr>
      <w:rFonts w:asciiTheme="majorHAnsi" w:hAnsiTheme="majorHAnsi" w:eastAsiaTheme="majorEastAsia"/>
      <w:b/>
      <w:bCs/>
      <w:kern w:val="32"/>
      <w:sz w:val="32"/>
      <w:szCs w:val="32"/>
    </w:rPr>
  </w:style>
  <w:style w:type="character" w:customStyle="1" w:styleId="40">
    <w:name w:val="标题 2 Char"/>
    <w:basedOn w:val="24"/>
    <w:link w:val="4"/>
    <w:semiHidden/>
    <w:qFormat/>
    <w:uiPriority w:val="9"/>
    <w:rPr>
      <w:rFonts w:asciiTheme="majorHAnsi" w:hAnsiTheme="majorHAnsi" w:eastAsiaTheme="majorEastAsia"/>
      <w:b/>
      <w:bCs/>
      <w:i/>
      <w:iCs/>
      <w:sz w:val="28"/>
      <w:szCs w:val="28"/>
    </w:rPr>
  </w:style>
  <w:style w:type="character" w:customStyle="1" w:styleId="41">
    <w:name w:val="标题 3 Char"/>
    <w:basedOn w:val="24"/>
    <w:link w:val="5"/>
    <w:semiHidden/>
    <w:qFormat/>
    <w:uiPriority w:val="9"/>
    <w:rPr>
      <w:rFonts w:asciiTheme="majorHAnsi" w:hAnsiTheme="majorHAnsi" w:eastAsiaTheme="majorEastAsia"/>
      <w:b/>
      <w:bCs/>
      <w:sz w:val="26"/>
      <w:szCs w:val="26"/>
    </w:rPr>
  </w:style>
  <w:style w:type="character" w:customStyle="1" w:styleId="42">
    <w:name w:val="标题 4 Char"/>
    <w:basedOn w:val="24"/>
    <w:link w:val="6"/>
    <w:semiHidden/>
    <w:qFormat/>
    <w:uiPriority w:val="9"/>
    <w:rPr>
      <w:b/>
      <w:bCs/>
      <w:sz w:val="28"/>
      <w:szCs w:val="28"/>
    </w:rPr>
  </w:style>
  <w:style w:type="character" w:customStyle="1" w:styleId="43">
    <w:name w:val="标题 5 Char"/>
    <w:basedOn w:val="24"/>
    <w:link w:val="7"/>
    <w:semiHidden/>
    <w:qFormat/>
    <w:uiPriority w:val="9"/>
    <w:rPr>
      <w:b/>
      <w:bCs/>
      <w:i/>
      <w:iCs/>
      <w:sz w:val="26"/>
      <w:szCs w:val="26"/>
    </w:rPr>
  </w:style>
  <w:style w:type="character" w:customStyle="1" w:styleId="44">
    <w:name w:val="标题 6 Char"/>
    <w:basedOn w:val="24"/>
    <w:link w:val="8"/>
    <w:semiHidden/>
    <w:qFormat/>
    <w:uiPriority w:val="9"/>
    <w:rPr>
      <w:b/>
      <w:bCs/>
    </w:rPr>
  </w:style>
  <w:style w:type="character" w:customStyle="1" w:styleId="45">
    <w:name w:val="标题 7 Char"/>
    <w:basedOn w:val="24"/>
    <w:link w:val="9"/>
    <w:semiHidden/>
    <w:qFormat/>
    <w:uiPriority w:val="9"/>
    <w:rPr>
      <w:sz w:val="24"/>
      <w:szCs w:val="24"/>
    </w:rPr>
  </w:style>
  <w:style w:type="character" w:customStyle="1" w:styleId="46">
    <w:name w:val="标题 8 Char"/>
    <w:basedOn w:val="24"/>
    <w:link w:val="10"/>
    <w:semiHidden/>
    <w:qFormat/>
    <w:uiPriority w:val="9"/>
    <w:rPr>
      <w:i/>
      <w:iCs/>
      <w:sz w:val="24"/>
      <w:szCs w:val="24"/>
    </w:rPr>
  </w:style>
  <w:style w:type="character" w:customStyle="1" w:styleId="47">
    <w:name w:val="标题 9 Char"/>
    <w:basedOn w:val="24"/>
    <w:link w:val="11"/>
    <w:semiHidden/>
    <w:qFormat/>
    <w:uiPriority w:val="9"/>
    <w:rPr>
      <w:rFonts w:asciiTheme="majorHAnsi" w:hAnsiTheme="majorHAnsi" w:eastAsiaTheme="majorEastAsia"/>
    </w:rPr>
  </w:style>
  <w:style w:type="character" w:customStyle="1" w:styleId="48">
    <w:name w:val="标题 Char"/>
    <w:basedOn w:val="24"/>
    <w:link w:val="22"/>
    <w:qFormat/>
    <w:uiPriority w:val="10"/>
    <w:rPr>
      <w:rFonts w:asciiTheme="majorHAnsi" w:hAnsiTheme="majorHAnsi" w:eastAsiaTheme="majorEastAsia"/>
      <w:b/>
      <w:bCs/>
      <w:kern w:val="28"/>
      <w:sz w:val="32"/>
      <w:szCs w:val="32"/>
    </w:rPr>
  </w:style>
  <w:style w:type="character" w:customStyle="1" w:styleId="49">
    <w:name w:val="副标题 Char"/>
    <w:basedOn w:val="24"/>
    <w:link w:val="19"/>
    <w:qFormat/>
    <w:uiPriority w:val="11"/>
    <w:rPr>
      <w:rFonts w:asciiTheme="majorHAnsi" w:hAnsiTheme="majorHAnsi" w:eastAsiaTheme="majorEastAsia"/>
      <w:sz w:val="24"/>
      <w:szCs w:val="24"/>
    </w:rPr>
  </w:style>
  <w:style w:type="paragraph" w:customStyle="1" w:styleId="50">
    <w:name w:val="无间隔1"/>
    <w:basedOn w:val="1"/>
    <w:qFormat/>
    <w:uiPriority w:val="1"/>
    <w:rPr>
      <w:rFonts w:cs="Times New Roman"/>
      <w:szCs w:val="32"/>
    </w:rPr>
  </w:style>
  <w:style w:type="paragraph" w:customStyle="1" w:styleId="51">
    <w:name w:val="引用1"/>
    <w:basedOn w:val="1"/>
    <w:next w:val="1"/>
    <w:link w:val="52"/>
    <w:qFormat/>
    <w:uiPriority w:val="29"/>
    <w:rPr>
      <w:rFonts w:cs="Times New Roman"/>
      <w:i/>
    </w:rPr>
  </w:style>
  <w:style w:type="character" w:customStyle="1" w:styleId="52">
    <w:name w:val="引用 Char"/>
    <w:basedOn w:val="24"/>
    <w:link w:val="51"/>
    <w:qFormat/>
    <w:uiPriority w:val="29"/>
    <w:rPr>
      <w:i/>
      <w:sz w:val="24"/>
      <w:szCs w:val="24"/>
    </w:rPr>
  </w:style>
  <w:style w:type="paragraph" w:customStyle="1" w:styleId="53">
    <w:name w:val="明显引用1"/>
    <w:basedOn w:val="1"/>
    <w:next w:val="1"/>
    <w:link w:val="54"/>
    <w:qFormat/>
    <w:uiPriority w:val="30"/>
    <w:pPr>
      <w:ind w:left="720" w:right="720"/>
    </w:pPr>
    <w:rPr>
      <w:rFonts w:cs="Times New Roman"/>
      <w:b/>
      <w:i/>
      <w:szCs w:val="22"/>
    </w:rPr>
  </w:style>
  <w:style w:type="character" w:customStyle="1" w:styleId="54">
    <w:name w:val="明显引用 Char"/>
    <w:basedOn w:val="24"/>
    <w:link w:val="53"/>
    <w:qFormat/>
    <w:uiPriority w:val="30"/>
    <w:rPr>
      <w:b/>
      <w:i/>
      <w:sz w:val="24"/>
    </w:rPr>
  </w:style>
  <w:style w:type="character" w:customStyle="1" w:styleId="55">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56">
    <w:name w:val="明显强调1"/>
    <w:basedOn w:val="24"/>
    <w:qFormat/>
    <w:uiPriority w:val="21"/>
    <w:rPr>
      <w:b/>
      <w:i/>
      <w:sz w:val="24"/>
      <w:szCs w:val="24"/>
      <w:u w:val="single"/>
    </w:rPr>
  </w:style>
  <w:style w:type="character" w:customStyle="1" w:styleId="57">
    <w:name w:val="不明显参考1"/>
    <w:basedOn w:val="24"/>
    <w:qFormat/>
    <w:uiPriority w:val="31"/>
    <w:rPr>
      <w:sz w:val="24"/>
      <w:szCs w:val="24"/>
      <w:u w:val="single"/>
    </w:rPr>
  </w:style>
  <w:style w:type="character" w:customStyle="1" w:styleId="58">
    <w:name w:val="明显参考1"/>
    <w:basedOn w:val="24"/>
    <w:qFormat/>
    <w:uiPriority w:val="32"/>
    <w:rPr>
      <w:b/>
      <w:sz w:val="24"/>
      <w:u w:val="single"/>
    </w:rPr>
  </w:style>
  <w:style w:type="character" w:customStyle="1" w:styleId="59">
    <w:name w:val="书籍标题1"/>
    <w:basedOn w:val="24"/>
    <w:qFormat/>
    <w:uiPriority w:val="33"/>
    <w:rPr>
      <w:rFonts w:asciiTheme="majorHAnsi" w:hAnsiTheme="majorHAnsi" w:eastAsiaTheme="majorEastAsia"/>
      <w:b/>
      <w:i/>
      <w:sz w:val="24"/>
      <w:szCs w:val="24"/>
    </w:rPr>
  </w:style>
  <w:style w:type="paragraph" w:customStyle="1" w:styleId="60">
    <w:name w:val="TOC 标题1"/>
    <w:basedOn w:val="3"/>
    <w:next w:val="1"/>
    <w:unhideWhenUsed/>
    <w:qFormat/>
    <w:uiPriority w:val="39"/>
    <w:pPr>
      <w:outlineLvl w:val="9"/>
    </w:pPr>
  </w:style>
  <w:style w:type="character" w:customStyle="1" w:styleId="61">
    <w:name w:val="批注框文本 Char"/>
    <w:basedOn w:val="24"/>
    <w:link w:val="16"/>
    <w:qFormat/>
    <w:uiPriority w:val="0"/>
    <w:rPr>
      <w:rFonts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9.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home/lenovo/&#26700;&#38754;/2021&#24180;&#32479;&#35745;&#20844;&#25253;&#22270;&#34920;&#38598;&#24635;(1)+(&#22797;&#2021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ome/lenovo/&#26700;&#38754;/2021&#24180;&#32479;&#35745;&#20844;&#25253;&#22270;&#34920;&#38598;&#24635;(1)+(&#22797;&#2021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home/lenovo/&#26700;&#38754;/2021&#24180;&#32479;&#35745;&#20844;&#25253;&#22270;&#34920;&#38598;&#24635;(1)+(&#22797;&#2021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ome/lenovo/&#26700;&#38754;/2022&#24180;&#32479;&#35745;&#20844;&#25253;&#22270;&#34920;&#38598;&#24635;(1)+(&#22797;&#2021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ome/lenovo/&#26700;&#38754;/2022&#24180;&#32479;&#35745;&#20844;&#25253;/2022&#24180;&#32479;&#35745;&#20844;&#25253;&#22270;&#34920;&#38598;&#24635;.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home/lenovo/&#26700;&#38754;/2021&#24180;&#32479;&#35745;&#20844;&#25253;&#22270;&#34920;&#38598;&#24635;(1)+(&#22797;&#2021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home/lenovo/&#26700;&#38754;/2021&#24180;&#32479;&#35745;&#20844;&#25253;&#22270;&#34920;&#38598;&#24635;(1)+(&#22797;&#20214;).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home/lenovo/&#26700;&#38754;/2021&#24180;&#32479;&#35745;&#20844;&#25253;&#22270;&#34920;&#38598;&#24635;(1)+(&#22797;&#2021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home/lenovo/&#26700;&#38754;/2022&#24180;&#32479;&#35745;&#20844;&#25253;&#22270;&#34920;&#38598;&#24635;(1)+(&#22797;&#202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chemeClr val="tx1">
                    <a:lumMod val="65000"/>
                    <a:lumOff val="35000"/>
                  </a:schemeClr>
                </a:solidFill>
                <a:latin typeface="+mn-lt"/>
                <a:ea typeface="+mn-ea"/>
                <a:cs typeface="+mn-cs"/>
              </a:defRPr>
            </a:pPr>
            <a:r>
              <a:rPr altLang="en-US" sz="1200" b="1">
                <a:latin typeface="+mj-ea"/>
                <a:ea typeface="+mj-ea"/>
                <a:cs typeface="+mj-ea"/>
              </a:rPr>
              <a:t>图</a:t>
            </a:r>
            <a:r>
              <a:rPr lang="en-US" altLang="zh-CN" sz="1200" b="1">
                <a:latin typeface="+mj-ea"/>
                <a:ea typeface="+mj-ea"/>
                <a:cs typeface="+mj-ea"/>
              </a:rPr>
              <a:t>1  2017-2022</a:t>
            </a:r>
            <a:r>
              <a:rPr altLang="en-US" sz="1200" b="1">
                <a:latin typeface="+mj-ea"/>
                <a:ea typeface="+mj-ea"/>
                <a:cs typeface="+mj-ea"/>
              </a:rPr>
              <a:t>年地区生产总值增长速度</a:t>
            </a:r>
            <a:endParaRPr altLang="en-US" sz="1200" b="1">
              <a:latin typeface="+mj-ea"/>
              <a:ea typeface="+mj-ea"/>
              <a:cs typeface="+mj-ea"/>
            </a:endParaRPr>
          </a:p>
        </c:rich>
      </c:tx>
      <c:layout>
        <c:manualLayout>
          <c:xMode val="edge"/>
          <c:yMode val="edge"/>
          <c:x val="0.225555555555556"/>
          <c:y val="0.00664599025254763"/>
        </c:manualLayout>
      </c:layout>
      <c:overlay val="0"/>
      <c:spPr>
        <a:noFill/>
        <a:ln>
          <a:noFill/>
        </a:ln>
        <a:effectLst/>
      </c:spPr>
    </c:title>
    <c:autoTitleDeleted val="0"/>
    <c:plotArea>
      <c:layout>
        <c:manualLayout>
          <c:layoutTarget val="inner"/>
          <c:xMode val="edge"/>
          <c:yMode val="edge"/>
          <c:x val="0.0698055555555556"/>
          <c:y val="0.205513950073421"/>
          <c:w val="0.901027777777778"/>
          <c:h val="0.711666666666667"/>
        </c:manualLayout>
      </c:layout>
      <c:lineChart>
        <c:grouping val="standard"/>
        <c:varyColors val="0"/>
        <c:ser>
          <c:idx val="0"/>
          <c:order val="0"/>
          <c:tx>
            <c:strRef>
              <c:f>'[2021年统计公报图表集总(1)+(复件).xlsx]gdp增速'!$B$2</c:f>
              <c:strCache>
                <c:ptCount val="1"/>
                <c:pt idx="0">
                  <c:v>比上年增长</c:v>
                </c:pt>
              </c:strCache>
            </c:strRef>
          </c:tx>
          <c:spPr>
            <a:ln w="28575" cap="rnd">
              <a:solidFill>
                <a:schemeClr val="accent1"/>
              </a:solidFill>
              <a:round/>
            </a:ln>
            <a:effectLst/>
          </c:spPr>
          <c:marker>
            <c:symbol val="circle"/>
            <c:size val="5"/>
            <c:spPr>
              <a:solidFill>
                <a:sysClr val="window" lastClr="FFFFFF"/>
              </a:solidFill>
              <a:ln w="9525">
                <a:solidFill>
                  <a:schemeClr val="accent1"/>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'[2021年统计公报图表集总(1)+(复件).xlsx]gdp增速'!$A$3:$A$8</c:f>
              <c:strCache>
                <c:ptCount val="6"/>
                <c:pt idx="0">
                  <c:v>2017年</c:v>
                </c:pt>
                <c:pt idx="1">
                  <c:v>2018年</c:v>
                </c:pt>
                <c:pt idx="2">
                  <c:v>2019年</c:v>
                </c:pt>
                <c:pt idx="3">
                  <c:v>2020年</c:v>
                </c:pt>
                <c:pt idx="4">
                  <c:v>2021年</c:v>
                </c:pt>
                <c:pt idx="5">
                  <c:v>2022年</c:v>
                </c:pt>
              </c:strCache>
            </c:strRef>
          </c:cat>
          <c:val>
            <c:numRef>
              <c:f>'[2021年统计公报图表集总(1)+(复件).xlsx]gdp增速'!$B$3:$B$8</c:f>
              <c:numCache>
                <c:formatCode>0.0_ </c:formatCode>
                <c:ptCount val="6"/>
                <c:pt idx="0">
                  <c:v>7.5</c:v>
                </c:pt>
                <c:pt idx="1">
                  <c:v>7.6</c:v>
                </c:pt>
                <c:pt idx="2">
                  <c:v>7.5</c:v>
                </c:pt>
                <c:pt idx="3">
                  <c:v>5.3</c:v>
                </c:pt>
                <c:pt idx="4">
                  <c:v>11.3</c:v>
                </c:pt>
                <c:pt idx="5">
                  <c:v>1.3</c:v>
                </c:pt>
              </c:numCache>
            </c:numRef>
          </c:val>
          <c:smooth val="0"/>
        </c:ser>
        <c:dLbls>
          <c:showLegendKey val="0"/>
          <c:showVal val="0"/>
          <c:showCatName val="0"/>
          <c:showSerName val="0"/>
          <c:showPercent val="0"/>
          <c:showBubbleSize val="0"/>
        </c:dLbls>
        <c:marker val="1"/>
        <c:smooth val="0"/>
        <c:axId val="885535092"/>
        <c:axId val="195606131"/>
      </c:lineChart>
      <c:catAx>
        <c:axId val="88553509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5606131"/>
        <c:crosses val="autoZero"/>
        <c:auto val="1"/>
        <c:lblAlgn val="ctr"/>
        <c:lblOffset val="100"/>
        <c:noMultiLvlLbl val="0"/>
      </c:catAx>
      <c:valAx>
        <c:axId val="195606131"/>
        <c:scaling>
          <c:orientation val="minMax"/>
          <c:max val="20"/>
        </c:scaling>
        <c:delete val="0"/>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mn-lt"/>
                    <a:ea typeface="+mn-ea"/>
                    <a:cs typeface="+mn-cs"/>
                  </a:defRPr>
                </a:pPr>
                <a:r>
                  <a:rPr sz="900"/>
                  <a:t>%</a:t>
                </a:r>
                <a:endParaRPr sz="900"/>
              </a:p>
            </c:rich>
          </c:tx>
          <c:layout>
            <c:manualLayout>
              <c:xMode val="edge"/>
              <c:yMode val="edge"/>
              <c:x val="0.0234596599981215"/>
              <c:y val="0.106905916729705"/>
            </c:manualLayout>
          </c:layout>
          <c:overlay val="0"/>
          <c:spPr>
            <a:noFill/>
            <a:ln>
              <a:noFill/>
            </a:ln>
            <a:effectLst/>
          </c:spPr>
        </c:title>
        <c:numFmt formatCode="General"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5535092"/>
        <c:crosses val="autoZero"/>
        <c:crossBetween val="between"/>
        <c:majorUnit val="5"/>
      </c:valAx>
      <c:spPr>
        <a:noFill/>
        <a:ln>
          <a:noFill/>
        </a:ln>
        <a:effectLst/>
      </c:spPr>
    </c:plotArea>
    <c:legend>
      <c:legendPos val="t"/>
      <c:layout>
        <c:manualLayout>
          <c:xMode val="edge"/>
          <c:yMode val="edge"/>
          <c:x val="0.393363095238095"/>
          <c:y val="0.08827340704281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charset="-122"/>
                <a:ea typeface="宋体" charset="-122"/>
                <a:cs typeface="宋体" charset="-122"/>
              </a:defRPr>
            </a:pPr>
            <a:r>
              <a:rPr lang="zh-CN" altLang="zh-CN" sz="1200"/>
              <a:t>图</a:t>
            </a:r>
            <a:r>
              <a:rPr lang="en-US" altLang="zh-CN" sz="1200"/>
              <a:t>2   2017-2022</a:t>
            </a:r>
            <a:r>
              <a:rPr lang="zh-CN" altLang="zh-CN" sz="1200"/>
              <a:t>年度地方一般公共预算收入及其增长速度</a:t>
            </a:r>
            <a:endParaRPr lang="zh-CN" altLang="zh-CN" sz="1200"/>
          </a:p>
        </c:rich>
      </c:tx>
      <c:layout/>
      <c:overlay val="0"/>
      <c:spPr>
        <a:noFill/>
        <a:ln>
          <a:noFill/>
        </a:ln>
      </c:spPr>
    </c:title>
    <c:autoTitleDeleted val="0"/>
    <c:plotArea>
      <c:layout>
        <c:manualLayout>
          <c:layoutTarget val="inner"/>
          <c:xMode val="edge"/>
          <c:yMode val="edge"/>
          <c:x val="0.105891181988743"/>
          <c:y val="0.197743861977439"/>
          <c:w val="0.81661038148843"/>
          <c:h val="0.697312541473125"/>
        </c:manualLayout>
      </c:layout>
      <c:barChart>
        <c:barDir val="col"/>
        <c:grouping val="clustered"/>
        <c:varyColors val="0"/>
        <c:ser>
          <c:idx val="0"/>
          <c:order val="0"/>
          <c:tx>
            <c:strRef>
              <c:f>'[2021年统计公报图表集总(1)+(复件).xlsx]财政总收入及其增长速度'!$B$1</c:f>
              <c:strCache>
                <c:ptCount val="1"/>
                <c:pt idx="0">
                  <c:v>地方一般公共预算收入</c:v>
                </c:pt>
              </c:strCache>
            </c:strRef>
          </c:tx>
          <c:spPr>
            <a:solidFill>
              <a:srgbClr val="4F81BD"/>
            </a:solidFill>
            <a:ln>
              <a:noFill/>
            </a:ln>
          </c:spPr>
          <c:invertIfNegative val="0"/>
          <c:dPt>
            <c:idx val="0"/>
            <c:invertIfNegative val="0"/>
            <c:bubble3D val="0"/>
            <c:spPr>
              <a:solidFill>
                <a:srgbClr val="4F81BD"/>
              </a:solidFill>
              <a:ln>
                <a:noFill/>
              </a:ln>
            </c:spPr>
          </c:dPt>
          <c:dPt>
            <c:idx val="1"/>
            <c:invertIfNegative val="0"/>
            <c:bubble3D val="0"/>
            <c:spPr>
              <a:solidFill>
                <a:srgbClr val="4F81BD"/>
              </a:solidFill>
              <a:ln>
                <a:noFill/>
              </a:ln>
            </c:spPr>
          </c:dPt>
          <c:dPt>
            <c:idx val="2"/>
            <c:invertIfNegative val="0"/>
            <c:bubble3D val="0"/>
            <c:spPr>
              <a:solidFill>
                <a:srgbClr val="4F81BD"/>
              </a:solidFill>
              <a:ln>
                <a:noFill/>
              </a:ln>
            </c:spPr>
          </c:dPt>
          <c:dPt>
            <c:idx val="3"/>
            <c:invertIfNegative val="0"/>
            <c:bubble3D val="0"/>
            <c:spPr>
              <a:solidFill>
                <a:srgbClr val="4F81BD"/>
              </a:solidFill>
              <a:ln>
                <a:noFill/>
              </a:ln>
            </c:spPr>
          </c:dPt>
          <c:dPt>
            <c:idx val="4"/>
            <c:invertIfNegative val="0"/>
            <c:bubble3D val="0"/>
            <c:spPr>
              <a:solidFill>
                <a:srgbClr val="4F81BD"/>
              </a:solidFill>
              <a:ln>
                <a:noFill/>
              </a:ln>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0134950578808544"/>
                  <c:y val="0.03016255864399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'[2021年统计公报图表集总(1)+(复件).xlsx]财政总收入及其增长速度'!$A$2:$A$7</c:f>
              <c:strCache>
                <c:ptCount val="6"/>
                <c:pt idx="0">
                  <c:v>2017年</c:v>
                </c:pt>
                <c:pt idx="1">
                  <c:v>2018年</c:v>
                </c:pt>
                <c:pt idx="2">
                  <c:v>2019年</c:v>
                </c:pt>
                <c:pt idx="3">
                  <c:v>2020年</c:v>
                </c:pt>
                <c:pt idx="4">
                  <c:v>2021年</c:v>
                </c:pt>
                <c:pt idx="5">
                  <c:v>2022年</c:v>
                </c:pt>
              </c:strCache>
            </c:strRef>
          </c:cat>
          <c:val>
            <c:numRef>
              <c:f>'[2021年统计公报图表集总(1)+(复件).xlsx]财政总收入及其增长速度'!$B$2:$B$7</c:f>
              <c:numCache>
                <c:formatCode>0.00_ </c:formatCode>
                <c:ptCount val="6"/>
                <c:pt idx="0">
                  <c:v>125.3645</c:v>
                </c:pt>
                <c:pt idx="1">
                  <c:v>169.8793</c:v>
                </c:pt>
                <c:pt idx="2">
                  <c:v>185.3425</c:v>
                </c:pt>
                <c:pt idx="3">
                  <c:v>186.1</c:v>
                </c:pt>
                <c:pt idx="4">
                  <c:v>208.3</c:v>
                </c:pt>
                <c:pt idx="5">
                  <c:v>204.8</c:v>
                </c:pt>
              </c:numCache>
            </c:numRef>
          </c:val>
        </c:ser>
        <c:dLbls>
          <c:showLegendKey val="0"/>
          <c:showVal val="0"/>
          <c:showCatName val="0"/>
          <c:showSerName val="0"/>
          <c:showPercent val="0"/>
          <c:showBubbleSize val="0"/>
        </c:dLbls>
        <c:gapWidth val="219"/>
        <c:overlap val="-27"/>
        <c:axId val="0"/>
        <c:axId val="1"/>
      </c:barChart>
      <c:lineChart>
        <c:grouping val="standard"/>
        <c:varyColors val="0"/>
        <c:ser>
          <c:idx val="1"/>
          <c:order val="1"/>
          <c:tx>
            <c:strRef>
              <c:f>'[2021年统计公报图表集总(1)+(复件).xlsx]财政总收入及其增长速度'!$C$1</c:f>
              <c:strCache>
                <c:ptCount val="1"/>
                <c:pt idx="0">
                  <c:v>增速</c:v>
                </c:pt>
              </c:strCache>
            </c:strRef>
          </c:tx>
          <c:spPr>
            <a:ln w="25400" cap="rnd" cmpd="sng" algn="ctr">
              <a:solidFill>
                <a:srgbClr val="C0504D"/>
              </a:solidFill>
              <a:prstDash val="solid"/>
              <a:round/>
            </a:ln>
          </c:spPr>
          <c:marker>
            <c:symbol val="circle"/>
            <c:size val="5"/>
            <c:spPr>
              <a:solidFill>
                <a:srgbClr val="FFFFFF"/>
              </a:solidFill>
              <a:ln w="9525" cap="flat" cmpd="sng" algn="ctr">
                <a:solidFill>
                  <a:srgbClr val="C0504D"/>
                </a:solidFill>
                <a:prstDash val="solid"/>
                <a:round/>
              </a:ln>
            </c:spPr>
          </c:marker>
          <c:dPt>
            <c:idx val="0"/>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1"/>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2"/>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3"/>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4"/>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Lbls>
            <c:dLbl>
              <c:idx val="0"/>
              <c:layout>
                <c:manualLayout>
                  <c:x val="-0.0431967503468518"/>
                  <c:y val="-0.027135305188574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24774871229847"/>
                  <c:y val="-0.029887776377164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109011769377814"/>
                  <c:y val="0.0026656442478653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'[2021年统计公报图表集总(1)+(复件).xlsx]财政总收入及其增长速度'!$A$2:$A$7</c:f>
              <c:strCache>
                <c:ptCount val="6"/>
                <c:pt idx="0">
                  <c:v>2017年</c:v>
                </c:pt>
                <c:pt idx="1">
                  <c:v>2018年</c:v>
                </c:pt>
                <c:pt idx="2">
                  <c:v>2019年</c:v>
                </c:pt>
                <c:pt idx="3">
                  <c:v>2020年</c:v>
                </c:pt>
                <c:pt idx="4">
                  <c:v>2021年</c:v>
                </c:pt>
                <c:pt idx="5">
                  <c:v>2022年</c:v>
                </c:pt>
              </c:strCache>
            </c:strRef>
          </c:cat>
          <c:val>
            <c:numRef>
              <c:f>'[2021年统计公报图表集总(1)+(复件).xlsx]财政总收入及其增长速度'!$C$2:$C$7</c:f>
              <c:numCache>
                <c:formatCode>General</c:formatCode>
                <c:ptCount val="6"/>
                <c:pt idx="0">
                  <c:v>12.8</c:v>
                </c:pt>
                <c:pt idx="1" c:formatCode="0.0_ ">
                  <c:v>13.9</c:v>
                </c:pt>
                <c:pt idx="2" c:formatCode="0.0_ ">
                  <c:v>9.1</c:v>
                </c:pt>
                <c:pt idx="3">
                  <c:v>0.4</c:v>
                </c:pt>
                <c:pt idx="4" c:formatCode="0.0_ ">
                  <c:v>12</c:v>
                </c:pt>
                <c:pt idx="5" c:formatCode="0.0_ ">
                  <c:v>-1.7</c:v>
                </c:pt>
              </c:numCache>
            </c:numRef>
          </c:val>
          <c:smooth val="0"/>
        </c:ser>
        <c:dLbls>
          <c:showLegendKey val="0"/>
          <c:showVal val="0"/>
          <c:showCatName val="0"/>
          <c:showSerName val="0"/>
          <c:showPercent val="0"/>
          <c:showBubbleSize val="0"/>
        </c:dLbls>
        <c:marker val="1"/>
        <c:smooth val="0"/>
        <c:axId val="2"/>
        <c:axId val="3"/>
      </c:lineChart>
      <c:catAx>
        <c:axId val="0"/>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rgbClr val="000000"/>
                    </a:solidFill>
                    <a:latin typeface="宋体" charset="-122"/>
                    <a:ea typeface="宋体" charset="-122"/>
                    <a:cs typeface="宋体" charset="-122"/>
                  </a:defRPr>
                </a:pPr>
                <a:r>
                  <a:rPr sz="900"/>
                  <a:t>亿元</a:t>
                </a:r>
                <a:endParaRPr sz="900"/>
              </a:p>
            </c:rich>
          </c:tx>
          <c:layout>
            <c:manualLayout>
              <c:xMode val="edge"/>
              <c:yMode val="edge"/>
              <c:x val="0.0416116283588332"/>
              <c:y val="0.109155237922617"/>
            </c:manualLayout>
          </c:layout>
          <c:overlay val="0"/>
        </c:titl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1"/>
        <c:crosses val="autoZero"/>
        <c:auto val="0"/>
        <c:lblAlgn val="ctr"/>
        <c:lblOffset val="100"/>
        <c:tickLblSkip val="1"/>
        <c:noMultiLvlLbl val="0"/>
      </c:catAx>
      <c:valAx>
        <c:axId val="1"/>
        <c:scaling>
          <c:orientation val="minMax"/>
        </c:scaling>
        <c:delete val="0"/>
        <c:axPos val="l"/>
        <c:majorGridlines>
          <c:spPr>
            <a:ln w="15875" cap="flat" cmpd="sng" algn="ctr">
              <a:solidFill>
                <a:schemeClr val="bg1">
                  <a:lumMod val="95000"/>
                </a:schemeClr>
              </a:solidFill>
              <a:prstDash val="solid"/>
              <a:round/>
            </a:ln>
          </c:spPr>
        </c:majorGridlines>
        <c:numFmt formatCode="0_);[Red]\(0\)" sourceLinked="0"/>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0"/>
        <c:crosses val="autoZero"/>
        <c:crossBetween val="between"/>
        <c:majorUnit val="50"/>
      </c:valAx>
      <c:catAx>
        <c:axId val="2"/>
        <c:scaling>
          <c:orientation val="minMax"/>
        </c:scaling>
        <c:delete val="1"/>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charset="-122"/>
                    <a:ea typeface="宋体" charset="-122"/>
                    <a:cs typeface="宋体" charset="-122"/>
                  </a:defRPr>
                </a:pPr>
                <a:r>
                  <a:rPr lang="en-US" altLang="zh-CN"/>
                  <a:t>%</a:t>
                </a:r>
                <a:endParaRPr lang="en-US" altLang="zh-CN"/>
              </a:p>
            </c:rich>
          </c:tx>
          <c:layout>
            <c:manualLayout>
              <c:xMode val="edge"/>
              <c:yMode val="edge"/>
              <c:x val="0.939651605169898"/>
              <c:y val="0.114473284877291"/>
            </c:manualLayout>
          </c:layout>
          <c:overlay val="0"/>
        </c:title>
        <c:majorTickMark val="none"/>
        <c:minorTickMark val="none"/>
        <c:tickLblPos val="nextTo"/>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3"/>
        <c:crosses val="autoZero"/>
        <c:auto val="0"/>
        <c:lblAlgn val="ctr"/>
        <c:lblOffset val="100"/>
        <c:tickLblSkip val="1"/>
        <c:noMultiLvlLbl val="0"/>
      </c:catAx>
      <c:valAx>
        <c:axId val="3"/>
        <c:scaling>
          <c:orientation val="minMax"/>
          <c:max val="20"/>
        </c:scaling>
        <c:delete val="0"/>
        <c:axPos val="r"/>
        <c:numFmt formatCode="General"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2"/>
        <c:crosses val="max"/>
        <c:crossBetween val="between"/>
        <c:majorUnit val="5"/>
      </c:valAx>
      <c:spPr>
        <a:noFill/>
        <a:ln>
          <a:noFill/>
        </a:ln>
      </c:spPr>
    </c:plotArea>
    <c:legend>
      <c:legendPos val="t"/>
      <c:layout/>
      <c:overlay val="0"/>
      <c:txPr>
        <a:bodyPr rot="0" spcFirstLastPara="0" vertOverflow="ellipsis" vert="horz" wrap="square" anchor="ctr" anchorCtr="1"/>
        <a:lstStyle/>
        <a:p>
          <a:pPr>
            <a:defRPr lang="zh-CN" sz="1000" b="0" i="0" u="none" strike="noStrike" kern="1200" baseline="0">
              <a:solidFill>
                <a:srgbClr val="000000"/>
              </a:solidFill>
              <a:latin typeface="宋体" charset="-122"/>
              <a:ea typeface="宋体" charset="-122"/>
              <a:cs typeface="宋体"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sz="1200" b="1">
                <a:latin typeface="+mj-ea"/>
                <a:ea typeface="+mj-ea"/>
                <a:cs typeface="+mj-ea"/>
              </a:rPr>
              <a:t>图</a:t>
            </a:r>
            <a:r>
              <a:rPr lang="en-US" altLang="zh-CN" sz="1200" b="1">
                <a:latin typeface="+mj-ea"/>
                <a:ea typeface="+mj-ea"/>
                <a:cs typeface="+mj-ea"/>
              </a:rPr>
              <a:t>3   2017-2022</a:t>
            </a:r>
            <a:r>
              <a:rPr altLang="en-US" sz="1200" b="1">
                <a:latin typeface="+mj-ea"/>
                <a:ea typeface="+mj-ea"/>
                <a:cs typeface="+mj-ea"/>
              </a:rPr>
              <a:t>年固定资产投资增长速度</a:t>
            </a:r>
            <a:endParaRPr altLang="en-US" sz="1200" b="1">
              <a:latin typeface="+mj-ea"/>
              <a:ea typeface="+mj-ea"/>
              <a:cs typeface="+mj-ea"/>
            </a:endParaRPr>
          </a:p>
        </c:rich>
      </c:tx>
      <c:layout>
        <c:manualLayout>
          <c:xMode val="edge"/>
          <c:yMode val="edge"/>
          <c:x val="0.194722222222222"/>
          <c:y val="0.00993377483443709"/>
        </c:manualLayout>
      </c:layout>
      <c:overlay val="0"/>
      <c:spPr>
        <a:noFill/>
        <a:ln>
          <a:noFill/>
        </a:ln>
        <a:effectLst/>
      </c:spPr>
    </c:title>
    <c:autoTitleDeleted val="0"/>
    <c:plotArea>
      <c:layout>
        <c:manualLayout>
          <c:layoutTarget val="inner"/>
          <c:xMode val="edge"/>
          <c:yMode val="edge"/>
          <c:x val="0.0754999999999997"/>
          <c:y val="0.218852097130243"/>
          <c:w val="0.88075"/>
          <c:h val="0.683222958057395"/>
        </c:manualLayout>
      </c:layout>
      <c:lineChart>
        <c:grouping val="standard"/>
        <c:varyColors val="0"/>
        <c:ser>
          <c:idx val="0"/>
          <c:order val="0"/>
          <c:tx>
            <c:strRef>
              <c:f>'[2021年统计公报图表集总(1)+(复件).xlsx]固定资产投资'!$B$2</c:f>
              <c:strCache>
                <c:ptCount val="1"/>
                <c:pt idx="0">
                  <c:v>比上年增长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3"/>
              <c:layout>
                <c:manualLayout>
                  <c:x val="-0.0306476216890861"/>
                  <c:y val="-0.0472807991120977"/>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45730752178818"/>
                  <c:y val="0.0564270941715885"/>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'[2021年统计公报图表集总(1)+(复件).xlsx]固定资产投资'!$A$3:$A$8</c:f>
              <c:strCache>
                <c:ptCount val="6"/>
                <c:pt idx="0">
                  <c:v>2017年</c:v>
                </c:pt>
                <c:pt idx="1">
                  <c:v>2018年</c:v>
                </c:pt>
                <c:pt idx="2">
                  <c:v>2019年</c:v>
                </c:pt>
                <c:pt idx="3">
                  <c:v>2020年</c:v>
                </c:pt>
                <c:pt idx="4">
                  <c:v>2021年</c:v>
                </c:pt>
                <c:pt idx="5">
                  <c:v>2022年</c:v>
                </c:pt>
              </c:strCache>
            </c:strRef>
          </c:cat>
          <c:val>
            <c:numRef>
              <c:f>'[2021年统计公报图表集总(1)+(复件).xlsx]固定资产投资'!$B$3:$B$8</c:f>
              <c:numCache>
                <c:formatCode>0.0_ </c:formatCode>
                <c:ptCount val="6"/>
                <c:pt idx="0">
                  <c:v>11.3054083477723</c:v>
                </c:pt>
                <c:pt idx="1">
                  <c:v>-6.2</c:v>
                </c:pt>
                <c:pt idx="2">
                  <c:v>-15.4</c:v>
                </c:pt>
                <c:pt idx="3">
                  <c:v>9.9</c:v>
                </c:pt>
                <c:pt idx="4">
                  <c:v>8.4</c:v>
                </c:pt>
                <c:pt idx="5">
                  <c:v>-12.7</c:v>
                </c:pt>
              </c:numCache>
            </c:numRef>
          </c:val>
          <c:smooth val="0"/>
        </c:ser>
        <c:dLbls>
          <c:showLegendKey val="0"/>
          <c:showVal val="1"/>
          <c:showCatName val="0"/>
          <c:showSerName val="0"/>
          <c:showPercent val="0"/>
          <c:showBubbleSize val="0"/>
        </c:dLbls>
        <c:marker val="1"/>
        <c:smooth val="0"/>
        <c:axId val="478236728"/>
        <c:axId val="432715431"/>
      </c:lineChart>
      <c:catAx>
        <c:axId val="478236728"/>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mn-lt"/>
                    <a:ea typeface="+mn-ea"/>
                    <a:cs typeface="+mn-cs"/>
                  </a:defRPr>
                </a:pPr>
                <a:r>
                  <a:rPr lang="en-US" altLang="zh-CN" sz="900"/>
                  <a:t>%</a:t>
                </a:r>
                <a:endParaRPr lang="en-US" altLang="zh-CN" sz="900"/>
              </a:p>
            </c:rich>
          </c:tx>
          <c:layout>
            <c:manualLayout>
              <c:xMode val="edge"/>
              <c:yMode val="edge"/>
              <c:x val="0.0301111111111111"/>
              <c:y val="0.108207246382077"/>
            </c:manualLayout>
          </c:layout>
          <c:overlay val="0"/>
          <c:spPr>
            <a:noFill/>
            <a:ln>
              <a:noFill/>
            </a:ln>
            <a:effectLst/>
          </c:spPr>
        </c:title>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2715431"/>
        <c:crosses val="autoZero"/>
        <c:auto val="1"/>
        <c:lblAlgn val="ctr"/>
        <c:lblOffset val="100"/>
        <c:noMultiLvlLbl val="0"/>
      </c:catAx>
      <c:valAx>
        <c:axId val="432715431"/>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8236728"/>
        <c:crosses val="autoZero"/>
        <c:crossBetween val="between"/>
      </c:valAx>
      <c:spPr>
        <a:noFill/>
        <a:ln>
          <a:noFill/>
        </a:ln>
        <a:effectLst/>
      </c:spPr>
    </c:plotArea>
    <c:legend>
      <c:legendPos val="t"/>
      <c:layout>
        <c:manualLayout>
          <c:xMode val="edge"/>
          <c:yMode val="edge"/>
          <c:x val="0.409930555555555"/>
          <c:y val="0.099779249448123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charset="-122"/>
                <a:ea typeface="宋体" charset="-122"/>
                <a:cs typeface="宋体" charset="-122"/>
              </a:defRPr>
            </a:pPr>
            <a:r>
              <a:rPr lang="zh-CN" altLang="zh-CN" sz="1200"/>
              <a:t> 图</a:t>
            </a:r>
            <a:r>
              <a:rPr lang="en-US" altLang="zh-CN" sz="1200"/>
              <a:t>4  </a:t>
            </a:r>
            <a:r>
              <a:rPr lang="zh-CN" altLang="zh-CN" sz="1200"/>
              <a:t>201</a:t>
            </a:r>
            <a:r>
              <a:rPr lang="en-US" altLang="zh-CN" sz="1200"/>
              <a:t>7</a:t>
            </a:r>
            <a:r>
              <a:rPr lang="zh-CN" altLang="zh-CN" sz="1200"/>
              <a:t>-202</a:t>
            </a:r>
            <a:r>
              <a:rPr lang="en-US" altLang="zh-CN" sz="1200"/>
              <a:t>2</a:t>
            </a:r>
            <a:r>
              <a:rPr lang="zh-CN" altLang="zh-CN" sz="1200"/>
              <a:t>年城镇居民人均可支配收入及其增长速度
</a:t>
            </a:r>
            <a:r>
              <a:rPr lang="zh-CN" altLang="zh-CN"/>
              <a:t>
</a:t>
            </a:r>
            <a:endParaRPr lang="zh-CN" altLang="zh-CN"/>
          </a:p>
        </c:rich>
      </c:tx>
      <c:layout/>
      <c:overlay val="0"/>
      <c:spPr>
        <a:noFill/>
        <a:ln>
          <a:noFill/>
        </a:ln>
      </c:spPr>
    </c:title>
    <c:autoTitleDeleted val="0"/>
    <c:plotArea>
      <c:layout>
        <c:manualLayout>
          <c:layoutTarget val="inner"/>
          <c:xMode val="edge"/>
          <c:yMode val="edge"/>
          <c:x val="0.0889650793650794"/>
          <c:y val="0.280829015544041"/>
          <c:w val="0.852546031746032"/>
          <c:h val="0.599205526770294"/>
        </c:manualLayout>
      </c:layout>
      <c:barChart>
        <c:barDir val="col"/>
        <c:grouping val="clustered"/>
        <c:varyColors val="0"/>
        <c:ser>
          <c:idx val="0"/>
          <c:order val="0"/>
          <c:tx>
            <c:strRef>
              <c:f>'[2022年统计公报图表集总(1)+(复件).xlsx]城镇居民人均可支配收入及其增长速度'!$B$2</c:f>
              <c:strCache>
                <c:ptCount val="1"/>
                <c:pt idx="0">
                  <c:v>城镇居民人均可支配收入</c:v>
                </c:pt>
              </c:strCache>
            </c:strRef>
          </c:tx>
          <c:spPr>
            <a:solidFill>
              <a:srgbClr val="4F81BD"/>
            </a:solidFill>
            <a:ln>
              <a:noFill/>
            </a:ln>
          </c:spPr>
          <c:invertIfNegative val="0"/>
          <c:dPt>
            <c:idx val="0"/>
            <c:invertIfNegative val="0"/>
            <c:bubble3D val="0"/>
            <c:spPr>
              <a:solidFill>
                <a:srgbClr val="4F81BD"/>
              </a:solidFill>
              <a:ln>
                <a:noFill/>
              </a:ln>
            </c:spPr>
          </c:dPt>
          <c:dPt>
            <c:idx val="1"/>
            <c:invertIfNegative val="0"/>
            <c:bubble3D val="0"/>
            <c:spPr>
              <a:solidFill>
                <a:srgbClr val="4F81BD"/>
              </a:solidFill>
              <a:ln>
                <a:noFill/>
              </a:ln>
            </c:spPr>
          </c:dPt>
          <c:dPt>
            <c:idx val="2"/>
            <c:invertIfNegative val="0"/>
            <c:bubble3D val="0"/>
            <c:spPr>
              <a:solidFill>
                <a:srgbClr val="4F81BD"/>
              </a:solidFill>
              <a:ln>
                <a:noFill/>
              </a:ln>
            </c:spPr>
          </c:dPt>
          <c:dPt>
            <c:idx val="3"/>
            <c:invertIfNegative val="0"/>
            <c:bubble3D val="0"/>
            <c:spPr>
              <a:solidFill>
                <a:srgbClr val="4F81BD"/>
              </a:solidFill>
              <a:ln>
                <a:noFill/>
              </a:ln>
            </c:spPr>
          </c:dPt>
          <c:dPt>
            <c:idx val="4"/>
            <c:invertIfNegative val="0"/>
            <c:bubble3D val="0"/>
            <c:spPr>
              <a:solidFill>
                <a:srgbClr val="4F81BD"/>
              </a:solidFill>
              <a:ln>
                <a:noFill/>
              </a:ln>
            </c:spPr>
          </c:dPt>
          <c:dLbls>
            <c:dLbl>
              <c:idx val="0"/>
              <c:layout>
                <c:manualLayout>
                  <c:x val="-0.00380952380952381"/>
                  <c:y val="0.022452504317789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20634920634921"/>
                  <c:y val="0.060449050086355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0.010362694300518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0.0172711571675302"/>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126984126984127"/>
                  <c:y val="0.0155440414507772"/>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
                  <c:y val="0.017271157167530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'[2022年统计公报图表集总(1)+(复件).xlsx]城镇居民人均可支配收入及其增长速度'!$A$3:$A$8</c:f>
              <c:strCache>
                <c:ptCount val="6"/>
                <c:pt idx="0">
                  <c:v>2017年</c:v>
                </c:pt>
                <c:pt idx="1">
                  <c:v>2018年</c:v>
                </c:pt>
                <c:pt idx="2">
                  <c:v>2019年</c:v>
                </c:pt>
                <c:pt idx="3">
                  <c:v>2020年</c:v>
                </c:pt>
                <c:pt idx="4">
                  <c:v>2021年</c:v>
                </c:pt>
                <c:pt idx="5">
                  <c:v>2022年</c:v>
                </c:pt>
              </c:strCache>
            </c:strRef>
          </c:cat>
          <c:val>
            <c:numRef>
              <c:f>'[2022年统计公报图表集总(1)+(复件).xlsx]城镇居民人均可支配收入及其增长速度'!$B$3:$B$8</c:f>
              <c:numCache>
                <c:formatCode>0_ </c:formatCode>
                <c:ptCount val="6"/>
                <c:pt idx="0">
                  <c:v>33320</c:v>
                </c:pt>
                <c:pt idx="1">
                  <c:v>36137</c:v>
                </c:pt>
                <c:pt idx="2">
                  <c:v>38977</c:v>
                </c:pt>
                <c:pt idx="3" c:formatCode="General">
                  <c:v>40049</c:v>
                </c:pt>
                <c:pt idx="4" c:formatCode="General">
                  <c:v>43605</c:v>
                </c:pt>
                <c:pt idx="5" c:formatCode="General">
                  <c:v>43535</c:v>
                </c:pt>
              </c:numCache>
            </c:numRef>
          </c:val>
        </c:ser>
        <c:dLbls>
          <c:showLegendKey val="0"/>
          <c:showVal val="0"/>
          <c:showCatName val="0"/>
          <c:showSerName val="0"/>
          <c:showPercent val="0"/>
          <c:showBubbleSize val="0"/>
        </c:dLbls>
        <c:gapWidth val="219"/>
        <c:overlap val="-27"/>
        <c:axId val="0"/>
        <c:axId val="1"/>
      </c:barChart>
      <c:lineChart>
        <c:grouping val="standard"/>
        <c:varyColors val="0"/>
        <c:ser>
          <c:idx val="1"/>
          <c:order val="1"/>
          <c:tx>
            <c:strRef>
              <c:f>'[2022年统计公报图表集总(1)+(复件).xlsx]城镇居民人均可支配收入及其增长速度'!$C$2</c:f>
              <c:strCache>
                <c:ptCount val="1"/>
                <c:pt idx="0">
                  <c:v>比上年增长</c:v>
                </c:pt>
              </c:strCache>
            </c:strRef>
          </c:tx>
          <c:spPr>
            <a:ln w="25400" cap="rnd" cmpd="sng" algn="ctr">
              <a:solidFill>
                <a:srgbClr val="C0504D"/>
              </a:solidFill>
              <a:prstDash val="solid"/>
              <a:round/>
            </a:ln>
          </c:spPr>
          <c:marker>
            <c:symbol val="circle"/>
            <c:size val="6"/>
            <c:spPr>
              <a:solidFill>
                <a:schemeClr val="bg1"/>
              </a:solidFill>
            </c:spPr>
          </c:marker>
          <c:dPt>
            <c:idx val="0"/>
            <c:marker>
              <c:symbol val="circle"/>
              <c:size val="6"/>
              <c:spPr>
                <a:solidFill>
                  <a:schemeClr val="bg1"/>
                </a:solidFill>
              </c:spPr>
            </c:marker>
            <c:bubble3D val="0"/>
            <c:spPr>
              <a:ln w="25400" cap="rnd" cmpd="sng" algn="ctr">
                <a:solidFill>
                  <a:srgbClr val="C0504D"/>
                </a:solidFill>
                <a:prstDash val="solid"/>
                <a:round/>
              </a:ln>
            </c:spPr>
          </c:dPt>
          <c:dPt>
            <c:idx val="1"/>
            <c:marker>
              <c:symbol val="circle"/>
              <c:size val="6"/>
              <c:spPr>
                <a:solidFill>
                  <a:schemeClr val="bg1"/>
                </a:solidFill>
              </c:spPr>
            </c:marker>
            <c:bubble3D val="0"/>
            <c:spPr>
              <a:ln w="25400" cap="rnd" cmpd="sng" algn="ctr">
                <a:solidFill>
                  <a:srgbClr val="C0504D"/>
                </a:solidFill>
                <a:prstDash val="solid"/>
                <a:round/>
              </a:ln>
            </c:spPr>
          </c:dPt>
          <c:dPt>
            <c:idx val="2"/>
            <c:marker>
              <c:symbol val="circle"/>
              <c:size val="6"/>
              <c:spPr>
                <a:solidFill>
                  <a:schemeClr val="bg1"/>
                </a:solidFill>
              </c:spPr>
            </c:marker>
            <c:bubble3D val="0"/>
            <c:spPr>
              <a:ln w="25400" cap="rnd" cmpd="sng" algn="ctr">
                <a:solidFill>
                  <a:srgbClr val="C0504D"/>
                </a:solidFill>
                <a:prstDash val="solid"/>
                <a:round/>
              </a:ln>
            </c:spPr>
          </c:dPt>
          <c:dPt>
            <c:idx val="3"/>
            <c:marker>
              <c:symbol val="circle"/>
              <c:size val="6"/>
              <c:spPr>
                <a:solidFill>
                  <a:schemeClr val="bg1"/>
                </a:solidFill>
              </c:spPr>
            </c:marker>
            <c:bubble3D val="0"/>
            <c:spPr>
              <a:ln w="25400" cap="rnd" cmpd="sng" algn="ctr">
                <a:solidFill>
                  <a:srgbClr val="C0504D"/>
                </a:solidFill>
                <a:prstDash val="solid"/>
                <a:round/>
              </a:ln>
            </c:spPr>
          </c:dPt>
          <c:dPt>
            <c:idx val="4"/>
            <c:marker>
              <c:symbol val="circle"/>
              <c:size val="6"/>
              <c:spPr>
                <a:solidFill>
                  <a:schemeClr val="bg1"/>
                </a:solidFill>
              </c:spPr>
            </c:marker>
            <c:bubble3D val="0"/>
            <c:spPr>
              <a:ln w="25400" cap="rnd" cmpd="sng" algn="ctr">
                <a:solidFill>
                  <a:srgbClr val="C0504D"/>
                </a:solidFill>
                <a:prstDash val="solid"/>
                <a:round/>
              </a:ln>
            </c:spPr>
          </c:dPt>
          <c:dLbls>
            <c:dLbl>
              <c:idx val="0"/>
              <c:layout>
                <c:manualLayout>
                  <c:x val="-0.060952380952381"/>
                  <c:y val="-0.020725388601036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31746031746032"/>
                  <c:y val="-0.03540587219343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292063492063498"/>
                  <c:y val="0.0023591174020908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215873015873004"/>
                  <c:y val="0.012257366019642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253968253968254"/>
                  <c:y val="1.96350324216953e-1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'[2022年统计公报图表集总(1)+(复件).xlsx]城镇居民人均可支配收入及其增长速度'!$A$3:$A$8</c:f>
              <c:strCache>
                <c:ptCount val="6"/>
                <c:pt idx="0">
                  <c:v>2017年</c:v>
                </c:pt>
                <c:pt idx="1">
                  <c:v>2018年</c:v>
                </c:pt>
                <c:pt idx="2">
                  <c:v>2019年</c:v>
                </c:pt>
                <c:pt idx="3">
                  <c:v>2020年</c:v>
                </c:pt>
                <c:pt idx="4">
                  <c:v>2021年</c:v>
                </c:pt>
                <c:pt idx="5">
                  <c:v>2022年</c:v>
                </c:pt>
              </c:strCache>
            </c:strRef>
          </c:cat>
          <c:val>
            <c:numRef>
              <c:f>'[2022年统计公报图表集总(1)+(复件).xlsx]城镇居民人均可支配收入及其增长速度'!$C$3:$C$8</c:f>
              <c:numCache>
                <c:formatCode>General</c:formatCode>
                <c:ptCount val="6"/>
                <c:pt idx="0">
                  <c:v>8.3</c:v>
                </c:pt>
                <c:pt idx="1" c:formatCode="0.0_ ">
                  <c:v>8.5</c:v>
                </c:pt>
                <c:pt idx="2" c:formatCode="0.0_ ">
                  <c:v>7.9</c:v>
                </c:pt>
                <c:pt idx="3">
                  <c:v>2.8</c:v>
                </c:pt>
                <c:pt idx="4">
                  <c:v>8.9</c:v>
                </c:pt>
                <c:pt idx="5">
                  <c:v>-0.2</c:v>
                </c:pt>
              </c:numCache>
            </c:numRef>
          </c:val>
          <c:smooth val="0"/>
        </c:ser>
        <c:dLbls>
          <c:showLegendKey val="0"/>
          <c:showVal val="0"/>
          <c:showCatName val="0"/>
          <c:showSerName val="0"/>
          <c:showPercent val="0"/>
          <c:showBubbleSize val="0"/>
        </c:dLbls>
        <c:marker val="1"/>
        <c:smooth val="0"/>
        <c:axId val="2"/>
        <c:axId val="3"/>
      </c:lineChart>
      <c:catAx>
        <c:axId val="0"/>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rgbClr val="000000"/>
                    </a:solidFill>
                    <a:latin typeface="宋体" charset="-122"/>
                    <a:ea typeface="宋体" charset="-122"/>
                    <a:cs typeface="宋体" charset="-122"/>
                  </a:defRPr>
                </a:pPr>
                <a:r>
                  <a:rPr sz="900"/>
                  <a:t>元</a:t>
                </a:r>
                <a:endParaRPr sz="900"/>
              </a:p>
            </c:rich>
          </c:tx>
          <c:layout>
            <c:manualLayout>
              <c:xMode val="edge"/>
              <c:yMode val="edge"/>
              <c:x val="0.023047619047619"/>
              <c:y val="0.197582037996546"/>
            </c:manualLayout>
          </c:layout>
          <c:overlay val="0"/>
        </c:titl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1"/>
        <c:crosses val="autoZero"/>
        <c:auto val="0"/>
        <c:lblAlgn val="ctr"/>
        <c:lblOffset val="100"/>
        <c:tickLblSkip val="1"/>
        <c:noMultiLvlLbl val="0"/>
      </c:catAx>
      <c:valAx>
        <c:axId val="1"/>
        <c:scaling>
          <c:orientation val="minMax"/>
          <c:max val="50000"/>
        </c:scaling>
        <c:delete val="0"/>
        <c:axPos val="l"/>
        <c:majorGridlines>
          <c:spPr>
            <a:ln w="15875" cap="flat" cmpd="sng" algn="ctr">
              <a:solidFill>
                <a:schemeClr val="bg1">
                  <a:lumMod val="95000"/>
                </a:schemeClr>
              </a:solidFill>
              <a:prstDash val="solid"/>
              <a:round/>
            </a:ln>
          </c:spPr>
        </c:majorGridlines>
        <c:numFmt formatCode="0_ "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0"/>
        <c:crosses val="autoZero"/>
        <c:crossBetween val="between"/>
        <c:majorUnit val="10000"/>
      </c:valAx>
      <c:catAx>
        <c:axId val="2"/>
        <c:scaling>
          <c:orientation val="minMax"/>
        </c:scaling>
        <c:delete val="1"/>
        <c:axPos val="b"/>
        <c:title>
          <c:tx>
            <c:rich>
              <a:bodyPr rot="0" spcFirstLastPara="0" vertOverflow="ellipsis" vert="horz" wrap="square" anchor="ctr" anchorCtr="1"/>
              <a:lstStyle/>
              <a:p>
                <a:pPr defTabSz="914400">
                  <a:defRPr lang="zh-CN" sz="900" b="0" i="0" u="none" strike="noStrike" kern="1200" baseline="0">
                    <a:solidFill>
                      <a:srgbClr val="000000"/>
                    </a:solidFill>
                    <a:latin typeface="宋体" charset="-122"/>
                    <a:ea typeface="宋体" charset="-122"/>
                    <a:cs typeface="宋体" charset="-122"/>
                  </a:defRPr>
                </a:pPr>
                <a:r>
                  <a:rPr lang="en-US" altLang="zh-CN" sz="900"/>
                  <a:t>%</a:t>
                </a:r>
                <a:endParaRPr lang="en-US" altLang="zh-CN" sz="900"/>
              </a:p>
            </c:rich>
          </c:tx>
          <c:layout>
            <c:manualLayout>
              <c:xMode val="edge"/>
              <c:yMode val="edge"/>
              <c:x val="0.955111111111111"/>
              <c:y val="0.194991364421416"/>
            </c:manualLayout>
          </c:layout>
          <c:overlay val="0"/>
        </c:title>
        <c:majorTickMark val="none"/>
        <c:minorTickMark val="none"/>
        <c:tickLblPos val="nextTo"/>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3"/>
        <c:crosses val="autoZero"/>
        <c:auto val="0"/>
        <c:lblAlgn val="ctr"/>
        <c:lblOffset val="100"/>
        <c:tickLblSkip val="1"/>
        <c:noMultiLvlLbl val="0"/>
      </c:catAx>
      <c:valAx>
        <c:axId val="3"/>
        <c:scaling>
          <c:orientation val="minMax"/>
          <c:max val="12"/>
        </c:scaling>
        <c:delete val="0"/>
        <c:axPos val="r"/>
        <c:numFmt formatCode="General"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2"/>
        <c:crosses val="max"/>
        <c:crossBetween val="between"/>
        <c:majorUnit val="2"/>
        <c:minorUnit val="0.4"/>
      </c:valAx>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Entry>
      <c:layout>
        <c:manualLayout>
          <c:xMode val="edge"/>
          <c:yMode val="edge"/>
          <c:x val="0.278095238095238"/>
          <c:y val="0.103108808290155"/>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charset="-122"/>
                <a:ea typeface="宋体" charset="-122"/>
                <a:cs typeface="宋体" charset="-122"/>
              </a:defRPr>
            </a:pPr>
            <a:r>
              <a:rPr lang="zh-CN" altLang="zh-CN" sz="1200"/>
              <a:t> 图</a:t>
            </a:r>
            <a:r>
              <a:rPr lang="en-US" altLang="zh-CN" sz="1200"/>
              <a:t>5  </a:t>
            </a:r>
            <a:r>
              <a:rPr lang="zh-CN" altLang="zh-CN" sz="1200"/>
              <a:t>201</a:t>
            </a:r>
            <a:r>
              <a:rPr lang="en-US" altLang="zh-CN" sz="1200"/>
              <a:t>7</a:t>
            </a:r>
            <a:r>
              <a:rPr lang="zh-CN" altLang="zh-CN" sz="1200"/>
              <a:t>-202</a:t>
            </a:r>
            <a:r>
              <a:rPr lang="en-US" altLang="zh-CN" sz="1200"/>
              <a:t>2</a:t>
            </a:r>
            <a:r>
              <a:rPr lang="zh-CN" altLang="zh-CN" sz="1200"/>
              <a:t>年农村居民人均可支配收入及其增长速度</a:t>
            </a:r>
            <a:r>
              <a:rPr lang="zh-CN" altLang="zh-CN"/>
              <a:t>
</a:t>
            </a:r>
            <a:endParaRPr lang="zh-CN" altLang="zh-CN"/>
          </a:p>
        </c:rich>
      </c:tx>
      <c:layout/>
      <c:overlay val="0"/>
      <c:spPr>
        <a:noFill/>
        <a:ln>
          <a:noFill/>
        </a:ln>
      </c:spPr>
    </c:title>
    <c:autoTitleDeleted val="0"/>
    <c:plotArea>
      <c:layout>
        <c:manualLayout>
          <c:layoutTarget val="inner"/>
          <c:xMode val="edge"/>
          <c:yMode val="edge"/>
          <c:x val="0.0950535441101479"/>
          <c:y val="0.337091988130564"/>
          <c:w val="0.829015808261091"/>
          <c:h val="0.531434223541049"/>
        </c:manualLayout>
      </c:layout>
      <c:barChart>
        <c:barDir val="col"/>
        <c:grouping val="clustered"/>
        <c:varyColors val="0"/>
        <c:ser>
          <c:idx val="0"/>
          <c:order val="0"/>
          <c:tx>
            <c:strRef>
              <c:f>[2022年统计公报图表集总.xlsx]农村居民人均可支配收入及其增长速度!$B$2</c:f>
              <c:strCache>
                <c:ptCount val="1"/>
                <c:pt idx="0">
                  <c:v>农村居民人均可支配收入</c:v>
                </c:pt>
              </c:strCache>
            </c:strRef>
          </c:tx>
          <c:spPr>
            <a:solidFill>
              <a:srgbClr val="4F81BD"/>
            </a:solidFill>
            <a:ln>
              <a:noFill/>
            </a:ln>
          </c:spPr>
          <c:invertIfNegative val="0"/>
          <c:dPt>
            <c:idx val="0"/>
            <c:invertIfNegative val="0"/>
            <c:bubble3D val="0"/>
            <c:spPr>
              <a:solidFill>
                <a:srgbClr val="4F81BD"/>
              </a:solidFill>
              <a:ln>
                <a:noFill/>
              </a:ln>
            </c:spPr>
          </c:dPt>
          <c:dPt>
            <c:idx val="1"/>
            <c:invertIfNegative val="0"/>
            <c:bubble3D val="0"/>
            <c:spPr>
              <a:solidFill>
                <a:srgbClr val="4F81BD"/>
              </a:solidFill>
              <a:ln>
                <a:noFill/>
              </a:ln>
            </c:spPr>
          </c:dPt>
          <c:dPt>
            <c:idx val="2"/>
            <c:invertIfNegative val="0"/>
            <c:bubble3D val="0"/>
            <c:spPr>
              <a:solidFill>
                <a:srgbClr val="4F81BD"/>
              </a:solidFill>
              <a:ln>
                <a:noFill/>
              </a:ln>
            </c:spPr>
          </c:dPt>
          <c:dPt>
            <c:idx val="3"/>
            <c:invertIfNegative val="0"/>
            <c:bubble3D val="0"/>
            <c:spPr>
              <a:solidFill>
                <a:srgbClr val="4F81BD"/>
              </a:solidFill>
              <a:ln>
                <a:noFill/>
              </a:ln>
            </c:spPr>
          </c:dPt>
          <c:dPt>
            <c:idx val="4"/>
            <c:invertIfNegative val="0"/>
            <c:bubble3D val="0"/>
            <c:spPr>
              <a:solidFill>
                <a:srgbClr val="4F81BD"/>
              </a:solidFill>
              <a:ln>
                <a:noFill/>
              </a:ln>
            </c:spPr>
          </c:dPt>
          <c:dLbls>
            <c:dLbl>
              <c:idx val="0"/>
              <c:layout>
                <c:manualLayout>
                  <c:x val="0"/>
                  <c:y val="0.018225039619651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431636409800686"/>
                  <c:y val="0.025158478605388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525136188265981"/>
                  <c:y val="0.0256813446885386"/>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152342262282595"/>
                  <c:y val="0.011489698890649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0736320934365875"/>
                  <c:y val="0.024960380348652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029198933604164"/>
                  <c:y val="0.013668779714738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[2022年统计公报图表集总.xlsx]农村居民人均可支配收入及其增长速度!$A$3:$A$8</c:f>
              <c:strCache>
                <c:ptCount val="6"/>
                <c:pt idx="0">
                  <c:v>2017年</c:v>
                </c:pt>
                <c:pt idx="1">
                  <c:v>2018年</c:v>
                </c:pt>
                <c:pt idx="2">
                  <c:v>2019年</c:v>
                </c:pt>
                <c:pt idx="3">
                  <c:v>2020年</c:v>
                </c:pt>
                <c:pt idx="4">
                  <c:v>2021年</c:v>
                </c:pt>
                <c:pt idx="5">
                  <c:v>2022年</c:v>
                </c:pt>
              </c:strCache>
            </c:strRef>
          </c:cat>
          <c:val>
            <c:numRef>
              <c:f>[2022年统计公报图表集总.xlsx]农村居民人均可支配收入及其增长速度!$B$3:$B$8</c:f>
              <c:numCache>
                <c:formatCode>General</c:formatCode>
                <c:ptCount val="6"/>
                <c:pt idx="0">
                  <c:v>13763</c:v>
                </c:pt>
                <c:pt idx="1">
                  <c:v>14886</c:v>
                </c:pt>
                <c:pt idx="2">
                  <c:v>16116</c:v>
                </c:pt>
                <c:pt idx="3">
                  <c:v>17405</c:v>
                </c:pt>
                <c:pt idx="4">
                  <c:v>19267</c:v>
                </c:pt>
                <c:pt idx="5">
                  <c:v>20388</c:v>
                </c:pt>
              </c:numCache>
            </c:numRef>
          </c:val>
        </c:ser>
        <c:dLbls>
          <c:showLegendKey val="0"/>
          <c:showVal val="0"/>
          <c:showCatName val="0"/>
          <c:showSerName val="0"/>
          <c:showPercent val="0"/>
          <c:showBubbleSize val="0"/>
        </c:dLbls>
        <c:gapWidth val="128"/>
        <c:overlap val="-22"/>
        <c:axId val="0"/>
        <c:axId val="1"/>
      </c:barChart>
      <c:lineChart>
        <c:grouping val="standard"/>
        <c:varyColors val="0"/>
        <c:ser>
          <c:idx val="1"/>
          <c:order val="1"/>
          <c:tx>
            <c:strRef>
              <c:f>[2022年统计公报图表集总.xlsx]农村居民人均可支配收入及其增长速度!$C$2</c:f>
              <c:strCache>
                <c:ptCount val="1"/>
                <c:pt idx="0">
                  <c:v>比上年增长</c:v>
                </c:pt>
              </c:strCache>
            </c:strRef>
          </c:tx>
          <c:spPr>
            <a:ln w="25400" cap="rnd" cmpd="sng" algn="ctr">
              <a:solidFill>
                <a:srgbClr val="C0504D"/>
              </a:solidFill>
              <a:prstDash val="solid"/>
              <a:round/>
            </a:ln>
          </c:spPr>
          <c:marker>
            <c:symbol val="circle"/>
            <c:size val="5"/>
            <c:spPr>
              <a:solidFill>
                <a:srgbClr val="FFFFFF"/>
              </a:solidFill>
              <a:ln w="9525" cap="flat" cmpd="sng" algn="ctr">
                <a:solidFill>
                  <a:srgbClr val="C0504D"/>
                </a:solidFill>
                <a:prstDash val="solid"/>
                <a:round/>
              </a:ln>
            </c:spPr>
          </c:marker>
          <c:dPt>
            <c:idx val="0"/>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1"/>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2"/>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3"/>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4"/>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Lbls>
            <c:dLbl>
              <c:idx val="0"/>
              <c:layout>
                <c:manualLayout>
                  <c:x val="-0.0343851512446524"/>
                  <c:y val="0.054217953886209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21545179100216"/>
                  <c:y val="0.0495244344892596"/>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63815865437611"/>
                  <c:y val="0.0563222327634024"/>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86843447220806"/>
                  <c:y val="0.02967359050445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449714934940213"/>
                  <c:y val="0.057061868919104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239550794899422"/>
                  <c:y val="0.0403750111687444"/>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[2022年统计公报图表集总.xlsx]农村居民人均可支配收入及其增长速度!$A$3:$A$8</c:f>
              <c:strCache>
                <c:ptCount val="6"/>
                <c:pt idx="0">
                  <c:v>2017年</c:v>
                </c:pt>
                <c:pt idx="1">
                  <c:v>2018年</c:v>
                </c:pt>
                <c:pt idx="2">
                  <c:v>2019年</c:v>
                </c:pt>
                <c:pt idx="3">
                  <c:v>2020年</c:v>
                </c:pt>
                <c:pt idx="4">
                  <c:v>2021年</c:v>
                </c:pt>
                <c:pt idx="5">
                  <c:v>2022年</c:v>
                </c:pt>
              </c:strCache>
            </c:strRef>
          </c:cat>
          <c:val>
            <c:numRef>
              <c:f>[2022年统计公报图表集总.xlsx]农村居民人均可支配收入及其增长速度!$C$3:$C$8</c:f>
              <c:numCache>
                <c:formatCode>0.0_ </c:formatCode>
                <c:ptCount val="6"/>
                <c:pt idx="0">
                  <c:v>8.5</c:v>
                </c:pt>
                <c:pt idx="1">
                  <c:v>8.2</c:v>
                </c:pt>
                <c:pt idx="2">
                  <c:v>8.3</c:v>
                </c:pt>
                <c:pt idx="3">
                  <c:v>8</c:v>
                </c:pt>
                <c:pt idx="4">
                  <c:v>10.7</c:v>
                </c:pt>
                <c:pt idx="5">
                  <c:v>5.8</c:v>
                </c:pt>
              </c:numCache>
            </c:numRef>
          </c:val>
          <c:smooth val="0"/>
        </c:ser>
        <c:dLbls>
          <c:showLegendKey val="0"/>
          <c:showVal val="0"/>
          <c:showCatName val="0"/>
          <c:showSerName val="0"/>
          <c:showPercent val="0"/>
          <c:showBubbleSize val="0"/>
        </c:dLbls>
        <c:marker val="1"/>
        <c:smooth val="0"/>
        <c:axId val="2"/>
        <c:axId val="3"/>
      </c:lineChart>
      <c:catAx>
        <c:axId val="0"/>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rgbClr val="000000"/>
                    </a:solidFill>
                    <a:latin typeface="宋体" charset="-122"/>
                    <a:ea typeface="宋体" charset="-122"/>
                    <a:cs typeface="宋体" charset="-122"/>
                  </a:defRPr>
                </a:pPr>
                <a:r>
                  <a:rPr sz="900"/>
                  <a:t>元</a:t>
                </a:r>
                <a:endParaRPr sz="900"/>
              </a:p>
            </c:rich>
          </c:tx>
          <c:layout>
            <c:manualLayout>
              <c:xMode val="edge"/>
              <c:yMode val="edge"/>
              <c:x val="0.0307241203467619"/>
              <c:y val="0.241147378832839"/>
            </c:manualLayout>
          </c:layout>
          <c:overlay val="0"/>
        </c:titl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1"/>
        <c:crosses val="autoZero"/>
        <c:auto val="0"/>
        <c:lblAlgn val="ctr"/>
        <c:lblOffset val="100"/>
        <c:tickLblSkip val="1"/>
        <c:noMultiLvlLbl val="0"/>
      </c:catAx>
      <c:valAx>
        <c:axId val="1"/>
        <c:scaling>
          <c:orientation val="minMax"/>
        </c:scaling>
        <c:delete val="0"/>
        <c:axPos val="l"/>
        <c:majorGridlines>
          <c:spPr>
            <a:ln w="15875" cap="flat" cmpd="sng" algn="ctr">
              <a:solidFill>
                <a:schemeClr val="bg1">
                  <a:lumMod val="95000"/>
                </a:schemeClr>
              </a:solidFill>
              <a:prstDash val="solid"/>
              <a:round/>
            </a:ln>
          </c:spPr>
        </c:majorGridlines>
        <c:numFmt formatCode="General"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0"/>
        <c:crosses val="autoZero"/>
        <c:crossBetween val="between"/>
        <c:majorUnit val="5000"/>
      </c:valAx>
      <c:catAx>
        <c:axId val="2"/>
        <c:scaling>
          <c:orientation val="minMax"/>
        </c:scaling>
        <c:delete val="1"/>
        <c:axPos val="b"/>
        <c:title>
          <c:tx>
            <c:rich>
              <a:bodyPr rot="0" spcFirstLastPara="0" vertOverflow="ellipsis" vert="horz" wrap="square" anchor="ctr" anchorCtr="1"/>
              <a:lstStyle/>
              <a:p>
                <a:pPr defTabSz="914400">
                  <a:defRPr lang="zh-CN" sz="900" b="0" i="0" u="none" strike="noStrike" kern="1200" baseline="0">
                    <a:solidFill>
                      <a:srgbClr val="000000"/>
                    </a:solidFill>
                    <a:latin typeface="宋体" charset="-122"/>
                    <a:ea typeface="宋体" charset="-122"/>
                    <a:cs typeface="宋体" charset="-122"/>
                  </a:defRPr>
                </a:pPr>
                <a:r>
                  <a:rPr lang="en-US" altLang="zh-CN" sz="900"/>
                  <a:t>%</a:t>
                </a:r>
                <a:endParaRPr lang="en-US" altLang="zh-CN" sz="900"/>
              </a:p>
            </c:rich>
          </c:tx>
          <c:layout>
            <c:manualLayout>
              <c:xMode val="edge"/>
              <c:yMode val="edge"/>
              <c:x val="0.95308516063233"/>
              <c:y val="0.238180019782394"/>
            </c:manualLayout>
          </c:layout>
          <c:overlay val="0"/>
        </c:title>
        <c:majorTickMark val="none"/>
        <c:minorTickMark val="none"/>
        <c:tickLblPos val="nextTo"/>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3"/>
        <c:crosses val="autoZero"/>
        <c:auto val="0"/>
        <c:lblAlgn val="ctr"/>
        <c:lblOffset val="100"/>
        <c:tickLblSkip val="1"/>
        <c:noMultiLvlLbl val="0"/>
      </c:catAx>
      <c:valAx>
        <c:axId val="3"/>
        <c:scaling>
          <c:orientation val="minMax"/>
        </c:scaling>
        <c:delete val="0"/>
        <c:axPos val="r"/>
        <c:numFmt formatCode="0.0_ "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2"/>
        <c:crosses val="max"/>
        <c:crossBetween val="between"/>
      </c:valAx>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Entry>
      <c:layout>
        <c:manualLayout>
          <c:xMode val="edge"/>
          <c:yMode val="edge"/>
          <c:x val="0.258095359510454"/>
          <c:y val="0.129970326409496"/>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chemeClr val="tx1">
                    <a:lumMod val="65000"/>
                    <a:lumOff val="35000"/>
                  </a:schemeClr>
                </a:solidFill>
                <a:latin typeface="+mj-ea"/>
                <a:ea typeface="+mj-ea"/>
                <a:cs typeface="+mj-ea"/>
                <a:sym typeface="+mj-ea"/>
              </a:defRPr>
            </a:pPr>
            <a:r>
              <a:rPr sz="1200" b="1">
                <a:latin typeface="+mj-ea"/>
                <a:ea typeface="+mj-ea"/>
                <a:cs typeface="+mj-ea"/>
                <a:sym typeface="+mj-ea"/>
              </a:rPr>
              <a:t>图</a:t>
            </a:r>
            <a:r>
              <a:rPr lang="en-US" altLang="zh-CN" sz="1200" b="1">
                <a:latin typeface="+mj-ea"/>
                <a:ea typeface="+mj-ea"/>
                <a:cs typeface="+mj-ea"/>
                <a:sym typeface="+mj-ea"/>
              </a:rPr>
              <a:t>6   2017-2022</a:t>
            </a:r>
            <a:r>
              <a:rPr altLang="en-US" sz="1200" b="1">
                <a:latin typeface="+mj-ea"/>
                <a:ea typeface="+mj-ea"/>
                <a:cs typeface="+mj-ea"/>
                <a:sym typeface="+mj-ea"/>
              </a:rPr>
              <a:t>年粮食产量</a:t>
            </a:r>
            <a:endParaRPr altLang="en-US" sz="1200" b="1">
              <a:latin typeface="+mj-ea"/>
              <a:ea typeface="+mj-ea"/>
              <a:cs typeface="+mj-ea"/>
              <a:sym typeface="+mj-ea"/>
            </a:endParaRPr>
          </a:p>
        </c:rich>
      </c:tx>
      <c:layout>
        <c:manualLayout>
          <c:xMode val="edge"/>
          <c:yMode val="edge"/>
          <c:x val="0.292222222222222"/>
          <c:y val="0.0138888888888889"/>
        </c:manualLayout>
      </c:layout>
      <c:overlay val="0"/>
      <c:spPr>
        <a:noFill/>
        <a:ln>
          <a:noFill/>
        </a:ln>
        <a:effectLst/>
      </c:spPr>
    </c:title>
    <c:autoTitleDeleted val="0"/>
    <c:plotArea>
      <c:layout>
        <c:manualLayout>
          <c:layoutTarget val="inner"/>
          <c:xMode val="edge"/>
          <c:yMode val="edge"/>
          <c:x val="0.127166666666667"/>
          <c:y val="0.179166666666667"/>
          <c:w val="0.800611111111111"/>
          <c:h val="0.722777777777778"/>
        </c:manualLayout>
      </c:layout>
      <c:barChart>
        <c:barDir val="col"/>
        <c:grouping val="clustered"/>
        <c:varyColors val="0"/>
        <c:ser>
          <c:idx val="0"/>
          <c:order val="0"/>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'[2021年统计公报图表集总(1)+(复件).xlsx]农业粮食产量'!$A$2:$A$7</c:f>
              <c:strCache>
                <c:ptCount val="6"/>
                <c:pt idx="0">
                  <c:v>2017年</c:v>
                </c:pt>
                <c:pt idx="1">
                  <c:v>2018年</c:v>
                </c:pt>
                <c:pt idx="2">
                  <c:v>2019年</c:v>
                </c:pt>
                <c:pt idx="3">
                  <c:v>2020年</c:v>
                </c:pt>
                <c:pt idx="4">
                  <c:v>2021年</c:v>
                </c:pt>
                <c:pt idx="5">
                  <c:v>2022年</c:v>
                </c:pt>
              </c:strCache>
            </c:strRef>
          </c:cat>
          <c:val>
            <c:numRef>
              <c:f>'[2021年统计公报图表集总(1)+(复件).xlsx]农业粮食产量'!$B$2:$B$7</c:f>
              <c:numCache>
                <c:formatCode>0.00_ </c:formatCode>
                <c:ptCount val="6"/>
                <c:pt idx="0">
                  <c:v>14.8</c:v>
                </c:pt>
                <c:pt idx="1">
                  <c:v>12.05</c:v>
                </c:pt>
                <c:pt idx="2">
                  <c:v>12.23</c:v>
                </c:pt>
                <c:pt idx="3">
                  <c:v>10.54</c:v>
                </c:pt>
                <c:pt idx="4">
                  <c:v>10.23</c:v>
                </c:pt>
                <c:pt idx="5">
                  <c:v>10.26</c:v>
                </c:pt>
              </c:numCache>
            </c:numRef>
          </c:val>
        </c:ser>
        <c:dLbls>
          <c:showLegendKey val="0"/>
          <c:showVal val="1"/>
          <c:showCatName val="0"/>
          <c:showSerName val="0"/>
          <c:showPercent val="0"/>
          <c:showBubbleSize val="0"/>
        </c:dLbls>
        <c:gapWidth val="150"/>
        <c:overlap val="0"/>
        <c:axId val="730902478"/>
        <c:axId val="652213269"/>
      </c:barChart>
      <c:catAx>
        <c:axId val="7309024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2213269"/>
        <c:crosses val="autoZero"/>
        <c:auto val="1"/>
        <c:lblAlgn val="ctr"/>
        <c:lblOffset val="100"/>
        <c:noMultiLvlLbl val="0"/>
      </c:catAx>
      <c:valAx>
        <c:axId val="652213269"/>
        <c:scaling>
          <c:orientation val="minMax"/>
          <c:max val="18"/>
          <c:min val="10"/>
        </c:scaling>
        <c:delete val="0"/>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mn-lt"/>
                    <a:ea typeface="+mn-ea"/>
                    <a:cs typeface="+mn-cs"/>
                  </a:defRPr>
                </a:pPr>
                <a:r>
                  <a:rPr sz="900"/>
                  <a:t>万吨</a:t>
                </a:r>
                <a:endParaRPr sz="900"/>
              </a:p>
            </c:rich>
          </c:tx>
          <c:layout>
            <c:manualLayout>
              <c:xMode val="edge"/>
              <c:yMode val="edge"/>
              <c:x val="0.040212226094814"/>
              <c:y val="0.0549525012025012"/>
            </c:manualLayout>
          </c:layout>
          <c:overlay val="0"/>
          <c:spPr>
            <a:noFill/>
            <a:ln>
              <a:noFill/>
            </a:ln>
            <a:effectLst/>
          </c:spPr>
        </c:title>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090247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chemeClr val="tx1">
                    <a:lumMod val="65000"/>
                    <a:lumOff val="35000"/>
                  </a:schemeClr>
                </a:solidFill>
                <a:latin typeface="+mn-lt"/>
                <a:ea typeface="+mn-ea"/>
                <a:cs typeface="+mn-cs"/>
              </a:defRPr>
            </a:pPr>
            <a:r>
              <a:rPr sz="1200" b="1">
                <a:latin typeface="+mj-ea"/>
                <a:ea typeface="+mj-ea"/>
                <a:cs typeface="+mj-ea"/>
              </a:rPr>
              <a:t>图</a:t>
            </a:r>
            <a:r>
              <a:rPr lang="en-US" altLang="zh-CN" sz="1200" b="1">
                <a:latin typeface="+mj-ea"/>
                <a:ea typeface="+mj-ea"/>
                <a:cs typeface="+mj-ea"/>
              </a:rPr>
              <a:t>7   2017-2022</a:t>
            </a:r>
            <a:r>
              <a:rPr altLang="en-US" sz="1200" b="1">
                <a:latin typeface="+mj-ea"/>
                <a:ea typeface="+mj-ea"/>
                <a:cs typeface="+mj-ea"/>
              </a:rPr>
              <a:t>年规模以上工业增加值增长速度</a:t>
            </a:r>
            <a:endParaRPr altLang="en-US" sz="1200" b="1">
              <a:latin typeface="+mj-ea"/>
              <a:ea typeface="+mj-ea"/>
              <a:cs typeface="+mj-ea"/>
            </a:endParaRPr>
          </a:p>
        </c:rich>
      </c:tx>
      <c:layout>
        <c:manualLayout>
          <c:xMode val="edge"/>
          <c:yMode val="edge"/>
          <c:x val="0.162222222222222"/>
          <c:y val="0.0065359477124183"/>
        </c:manualLayout>
      </c:layout>
      <c:overlay val="0"/>
      <c:spPr>
        <a:noFill/>
        <a:ln>
          <a:noFill/>
        </a:ln>
        <a:effectLst/>
      </c:spPr>
    </c:title>
    <c:autoTitleDeleted val="0"/>
    <c:plotArea>
      <c:layout>
        <c:manualLayout>
          <c:layoutTarget val="inner"/>
          <c:xMode val="edge"/>
          <c:yMode val="edge"/>
          <c:x val="0.0803300505722651"/>
          <c:y val="0.19495642701525"/>
          <c:w val="0.901027777777778"/>
          <c:h val="0.711666666666667"/>
        </c:manualLayout>
      </c:layout>
      <c:lineChart>
        <c:grouping val="standard"/>
        <c:varyColors val="0"/>
        <c:ser>
          <c:idx val="0"/>
          <c:order val="0"/>
          <c:tx>
            <c:strRef>
              <c:f>'[2021年统计公报图表集总(1)+(复件).xlsx]规上工业增加值增速'!$B$2</c:f>
              <c:strCache>
                <c:ptCount val="1"/>
                <c:pt idx="0">
                  <c:v>比上年增长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0.023301793531987"/>
                  <c:y val="0.0424710424710425"/>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8284140658099"/>
                  <c:y val="-0.0347490347490347"/>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48284140658099"/>
                  <c:y val="-0.0424710424710425"/>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597054530980496"/>
                  <c:y val="-0.0441208912420031"/>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48693113971076"/>
                  <c:y val="0.0441208912420031"/>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'[2021年统计公报图表集总(1)+(复件).xlsx]规上工业增加值增速'!$A$3:$A$8</c:f>
              <c:strCache>
                <c:ptCount val="6"/>
                <c:pt idx="0">
                  <c:v>2017年</c:v>
                </c:pt>
                <c:pt idx="1">
                  <c:v>2018年</c:v>
                </c:pt>
                <c:pt idx="2">
                  <c:v>2019年</c:v>
                </c:pt>
                <c:pt idx="3">
                  <c:v>2020年</c:v>
                </c:pt>
                <c:pt idx="4">
                  <c:v>2021年</c:v>
                </c:pt>
                <c:pt idx="5">
                  <c:v>2022年</c:v>
                </c:pt>
              </c:strCache>
            </c:strRef>
          </c:cat>
          <c:val>
            <c:numRef>
              <c:f>'[2021年统计公报图表集总(1)+(复件).xlsx]规上工业增加值增速'!$B$3:$B$8</c:f>
              <c:numCache>
                <c:formatCode>0.0_ </c:formatCode>
                <c:ptCount val="6"/>
                <c:pt idx="0">
                  <c:v>4.5</c:v>
                </c:pt>
                <c:pt idx="1">
                  <c:v>8</c:v>
                </c:pt>
                <c:pt idx="2">
                  <c:v>3.2</c:v>
                </c:pt>
                <c:pt idx="3">
                  <c:v>-3.3</c:v>
                </c:pt>
                <c:pt idx="4">
                  <c:v>15.9</c:v>
                </c:pt>
                <c:pt idx="5">
                  <c:v>20.5</c:v>
                </c:pt>
              </c:numCache>
            </c:numRef>
          </c:val>
          <c:smooth val="0"/>
        </c:ser>
        <c:dLbls>
          <c:showLegendKey val="0"/>
          <c:showVal val="1"/>
          <c:showCatName val="0"/>
          <c:showSerName val="0"/>
          <c:showPercent val="0"/>
          <c:showBubbleSize val="0"/>
        </c:dLbls>
        <c:marker val="1"/>
        <c:smooth val="0"/>
        <c:axId val="181298196"/>
        <c:axId val="668938852"/>
      </c:lineChart>
      <c:catAx>
        <c:axId val="181298196"/>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8938852"/>
        <c:crosses val="autoZero"/>
        <c:auto val="1"/>
        <c:lblAlgn val="ctr"/>
        <c:lblOffset val="100"/>
        <c:noMultiLvlLbl val="0"/>
      </c:catAx>
      <c:valAx>
        <c:axId val="668938852"/>
        <c:scaling>
          <c:orientation val="minMax"/>
          <c:min val="-4"/>
        </c:scaling>
        <c:delete val="0"/>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mn-lt"/>
                    <a:ea typeface="+mn-ea"/>
                    <a:cs typeface="+mn-cs"/>
                  </a:defRPr>
                </a:pPr>
                <a:r>
                  <a:rPr lang="en-US" altLang="zh-CN" sz="900"/>
                  <a:t>%</a:t>
                </a:r>
                <a:endParaRPr lang="en-US" altLang="zh-CN" sz="900"/>
              </a:p>
            </c:rich>
          </c:tx>
          <c:layout>
            <c:manualLayout>
              <c:xMode val="edge"/>
              <c:yMode val="edge"/>
              <c:x val="0.0209203930440955"/>
              <c:y val="0.103940631808279"/>
            </c:manualLayout>
          </c:layout>
          <c:overlay val="0"/>
          <c:spPr>
            <a:noFill/>
            <a:ln>
              <a:noFill/>
            </a:ln>
            <a:effectLst/>
          </c:spPr>
        </c:title>
        <c:numFmt formatCode="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1298196"/>
        <c:crosses val="autoZero"/>
        <c:crossBetween val="between"/>
      </c:valAx>
      <c:spPr>
        <a:noFill/>
        <a:ln>
          <a:noFill/>
        </a:ln>
        <a:effectLst/>
      </c:spPr>
    </c:plotArea>
    <c:legend>
      <c:legendPos val="t"/>
      <c:layout>
        <c:manualLayout>
          <c:xMode val="edge"/>
          <c:yMode val="edge"/>
          <c:x val="0.405763888888889"/>
          <c:y val="0.085961328976034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chemeClr val="tx1">
                    <a:lumMod val="65000"/>
                    <a:lumOff val="35000"/>
                  </a:schemeClr>
                </a:solidFill>
                <a:latin typeface="+mn-lt"/>
                <a:ea typeface="+mn-ea"/>
                <a:cs typeface="+mn-cs"/>
              </a:defRPr>
            </a:pPr>
            <a:r>
              <a:rPr sz="1200" b="1">
                <a:latin typeface="+mj-ea"/>
                <a:ea typeface="+mj-ea"/>
                <a:cs typeface="+mj-ea"/>
              </a:rPr>
              <a:t>图</a:t>
            </a:r>
            <a:r>
              <a:rPr lang="en-US" altLang="zh-CN" sz="1200" b="1">
                <a:latin typeface="+mj-ea"/>
                <a:ea typeface="+mj-ea"/>
                <a:cs typeface="+mj-ea"/>
              </a:rPr>
              <a:t>8   2017-2022</a:t>
            </a:r>
            <a:r>
              <a:rPr altLang="en-US" sz="1200" b="1">
                <a:latin typeface="+mj-ea"/>
                <a:ea typeface="+mj-ea"/>
                <a:cs typeface="+mj-ea"/>
              </a:rPr>
              <a:t>年社会消费品零售总额及其增长速度</a:t>
            </a:r>
            <a:endParaRPr altLang="en-US" sz="1200" b="1">
              <a:latin typeface="+mj-ea"/>
              <a:ea typeface="+mj-ea"/>
              <a:cs typeface="+mj-ea"/>
            </a:endParaRPr>
          </a:p>
        </c:rich>
      </c:tx>
      <c:layout/>
      <c:overlay val="0"/>
      <c:spPr>
        <a:noFill/>
        <a:ln>
          <a:noFill/>
        </a:ln>
        <a:effectLst/>
      </c:spPr>
    </c:title>
    <c:autoTitleDeleted val="0"/>
    <c:plotArea>
      <c:layout>
        <c:manualLayout>
          <c:layoutTarget val="inner"/>
          <c:xMode val="edge"/>
          <c:yMode val="edge"/>
          <c:x val="0.1105"/>
          <c:y val="0.280092592592593"/>
          <c:w val="0.812611111111111"/>
          <c:h val="0.606805555555556"/>
        </c:manualLayout>
      </c:layout>
      <c:barChart>
        <c:barDir val="col"/>
        <c:grouping val="clustered"/>
        <c:varyColors val="0"/>
        <c:ser>
          <c:idx val="0"/>
          <c:order val="0"/>
          <c:tx>
            <c:strRef>
              <c:f>'[2021年统计公报图表集总(1)+(复件).xlsx]社会消费品总额及增长'!$B$2</c:f>
              <c:strCache>
                <c:ptCount val="1"/>
                <c:pt idx="0">
                  <c:v>社会消费品零售总额</c:v>
                </c:pt>
              </c:strCache>
            </c:strRef>
          </c:tx>
          <c:spPr>
            <a:solidFill>
              <a:schemeClr val="accent1"/>
            </a:solidFill>
            <a:ln>
              <a:noFill/>
            </a:ln>
            <a:effectLst/>
          </c:spPr>
          <c:invertIfNegative val="0"/>
          <c:dLbls>
            <c:dLbl>
              <c:idx val="4"/>
              <c:layout>
                <c:manualLayout>
                  <c:x val="-0.0611735330836454"/>
                  <c:y val="0.021870637505816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noFill/>
                      <a:round/>
                    </a:ln>
                    <a:effectLst/>
                  </c:spPr>
                </c15:leaderLines>
              </c:ext>
            </c:extLst>
          </c:dLbls>
          <c:cat>
            <c:strRef>
              <c:f>'[2021年统计公报图表集总(1)+(复件).xlsx]社会消费品总额及增长'!$A$3:$A$8</c:f>
              <c:strCache>
                <c:ptCount val="6"/>
                <c:pt idx="0">
                  <c:v>2017年</c:v>
                </c:pt>
                <c:pt idx="1">
                  <c:v>2018年</c:v>
                </c:pt>
                <c:pt idx="2">
                  <c:v>2019年</c:v>
                </c:pt>
                <c:pt idx="3">
                  <c:v>2020年</c:v>
                </c:pt>
                <c:pt idx="4">
                  <c:v>2021年</c:v>
                </c:pt>
                <c:pt idx="5">
                  <c:v>2022年</c:v>
                </c:pt>
              </c:strCache>
            </c:strRef>
          </c:cat>
          <c:val>
            <c:numRef>
              <c:f>'[2021年统计公报图表集总(1)+(复件).xlsx]社会消费品总额及增长'!$B$3:$B$8</c:f>
              <c:numCache>
                <c:formatCode>0.00_ </c:formatCode>
                <c:ptCount val="6"/>
                <c:pt idx="0">
                  <c:v>742.72</c:v>
                </c:pt>
                <c:pt idx="1">
                  <c:v>787.25</c:v>
                </c:pt>
                <c:pt idx="2">
                  <c:v>823.94</c:v>
                </c:pt>
                <c:pt idx="3">
                  <c:v>835.89</c:v>
                </c:pt>
                <c:pt idx="4">
                  <c:v>1056.98</c:v>
                </c:pt>
                <c:pt idx="5">
                  <c:v>1003.05</c:v>
                </c:pt>
              </c:numCache>
            </c:numRef>
          </c:val>
        </c:ser>
        <c:dLbls>
          <c:showLegendKey val="0"/>
          <c:showVal val="1"/>
          <c:showCatName val="0"/>
          <c:showSerName val="0"/>
          <c:showPercent val="0"/>
          <c:showBubbleSize val="0"/>
        </c:dLbls>
        <c:gapWidth val="150"/>
        <c:overlap val="0"/>
        <c:axId val="245045962"/>
        <c:axId val="180788319"/>
      </c:barChart>
      <c:lineChart>
        <c:grouping val="standard"/>
        <c:varyColors val="0"/>
        <c:ser>
          <c:idx val="1"/>
          <c:order val="1"/>
          <c:tx>
            <c:strRef>
              <c:f>'[2021年统计公报图表集总(1)+(复件).xlsx]社会消费品总额及增长'!$C$2</c:f>
              <c:strCache>
                <c:ptCount val="1"/>
                <c:pt idx="0">
                  <c:v>比上年增长</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0.0403133236232487"/>
                  <c:y val="-0.0370844320355721"/>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375"/>
                  <c:y val="-0.0416666666666667"/>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131779719794701"/>
                  <c:y val="-0.0109353187529083"/>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noFill/>
                      <a:round/>
                    </a:ln>
                    <a:effectLst/>
                  </c:spPr>
                </c15:leaderLines>
              </c:ext>
            </c:extLst>
          </c:dLbls>
          <c:cat>
            <c:strRef>
              <c:f>'[2021年统计公报图表集总(1)+(复件).xlsx]社会消费品总额及增长'!$A$3:$A$8</c:f>
              <c:strCache>
                <c:ptCount val="6"/>
                <c:pt idx="0">
                  <c:v>2017年</c:v>
                </c:pt>
                <c:pt idx="1">
                  <c:v>2018年</c:v>
                </c:pt>
                <c:pt idx="2">
                  <c:v>2019年</c:v>
                </c:pt>
                <c:pt idx="3">
                  <c:v>2020年</c:v>
                </c:pt>
                <c:pt idx="4">
                  <c:v>2021年</c:v>
                </c:pt>
                <c:pt idx="5">
                  <c:v>2022年</c:v>
                </c:pt>
              </c:strCache>
            </c:strRef>
          </c:cat>
          <c:val>
            <c:numRef>
              <c:f>'[2021年统计公报图表集总(1)+(复件).xlsx]社会消费品总额及增长'!$C$3:$C$8</c:f>
              <c:numCache>
                <c:formatCode>0.0_ </c:formatCode>
                <c:ptCount val="6"/>
                <c:pt idx="0">
                  <c:v>11.0465322824212</c:v>
                </c:pt>
                <c:pt idx="1">
                  <c:v>5.9</c:v>
                </c:pt>
                <c:pt idx="2">
                  <c:v>4.7</c:v>
                </c:pt>
                <c:pt idx="3">
                  <c:v>1.5</c:v>
                </c:pt>
                <c:pt idx="4">
                  <c:v>26.5</c:v>
                </c:pt>
                <c:pt idx="5">
                  <c:v>-5.1</c:v>
                </c:pt>
              </c:numCache>
            </c:numRef>
          </c:val>
          <c:smooth val="0"/>
        </c:ser>
        <c:dLbls>
          <c:showLegendKey val="0"/>
          <c:showVal val="1"/>
          <c:showCatName val="0"/>
          <c:showSerName val="0"/>
          <c:showPercent val="0"/>
          <c:showBubbleSize val="0"/>
        </c:dLbls>
        <c:marker val="1"/>
        <c:smooth val="0"/>
        <c:axId val="889139662"/>
        <c:axId val="404158844"/>
      </c:lineChart>
      <c:catAx>
        <c:axId val="245045962"/>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mn-lt"/>
                    <a:ea typeface="+mn-ea"/>
                    <a:cs typeface="+mn-cs"/>
                  </a:defRPr>
                </a:pPr>
                <a:r>
                  <a:rPr sz="900"/>
                  <a:t>亿元</a:t>
                </a:r>
                <a:endParaRPr sz="900"/>
              </a:p>
            </c:rich>
          </c:tx>
          <c:layout>
            <c:manualLayout>
              <c:xMode val="edge"/>
              <c:yMode val="edge"/>
              <c:x val="0.0166666666666665"/>
              <c:y val="0.157175925925926"/>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0788319"/>
        <c:crosses val="autoZero"/>
        <c:auto val="1"/>
        <c:lblAlgn val="ctr"/>
        <c:lblOffset val="100"/>
        <c:noMultiLvlLbl val="0"/>
      </c:catAx>
      <c:valAx>
        <c:axId val="180788319"/>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5045962"/>
        <c:crosses val="autoZero"/>
        <c:crossBetween val="between"/>
      </c:valAx>
      <c:catAx>
        <c:axId val="889139662"/>
        <c:scaling>
          <c:orientation val="minMax"/>
        </c:scaling>
        <c:delete val="1"/>
        <c:axPos val="b"/>
        <c:title>
          <c:tx>
            <c:rich>
              <a:bodyPr rot="0" spcFirstLastPara="0" vertOverflow="ellipsis" vert="horz" wrap="square" anchor="ctr" anchorCtr="1"/>
              <a:lstStyle/>
              <a:p>
                <a:pPr defTabSz="914400">
                  <a:defRPr lang="zh-CN" sz="900" b="0" i="0" u="none" strike="noStrike" kern="1200" baseline="0">
                    <a:solidFill>
                      <a:schemeClr val="tx1">
                        <a:lumMod val="65000"/>
                        <a:lumOff val="35000"/>
                      </a:schemeClr>
                    </a:solidFill>
                    <a:latin typeface="+mn-lt"/>
                    <a:ea typeface="+mn-ea"/>
                    <a:cs typeface="+mn-cs"/>
                  </a:defRPr>
                </a:pPr>
                <a:r>
                  <a:rPr lang="en-US" altLang="zh-CN" sz="900"/>
                  <a:t>%</a:t>
                </a:r>
                <a:endParaRPr lang="en-US" altLang="zh-CN" sz="900"/>
              </a:p>
            </c:rich>
          </c:tx>
          <c:layout>
            <c:manualLayout>
              <c:xMode val="edge"/>
              <c:yMode val="edge"/>
              <c:x val="0.936597222222222"/>
              <c:y val="0.163657407407408"/>
            </c:manualLayout>
          </c:layout>
          <c:overlay val="0"/>
          <c:spPr>
            <a:noFill/>
            <a:ln>
              <a:noFill/>
            </a:ln>
            <a:effectLst/>
          </c:spPr>
        </c:title>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4158844"/>
        <c:crosses val="autoZero"/>
        <c:auto val="1"/>
        <c:lblAlgn val="ctr"/>
        <c:lblOffset val="100"/>
        <c:noMultiLvlLbl val="0"/>
      </c:catAx>
      <c:valAx>
        <c:axId val="404158844"/>
        <c:scaling>
          <c:orientation val="minMax"/>
        </c:scaling>
        <c:delete val="0"/>
        <c:axPos val="r"/>
        <c:numFmt formatCode="0.0_ "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9139662"/>
        <c:crosses val="max"/>
        <c:crossBetween val="between"/>
      </c:valAx>
      <c:spPr>
        <a:noFill/>
        <a:ln>
          <a:noFill/>
        </a:ln>
        <a:effectLst/>
      </c:spPr>
    </c:plotArea>
    <c:legend>
      <c:legendPos val="b"/>
      <c:layout>
        <c:manualLayout>
          <c:xMode val="edge"/>
          <c:yMode val="edge"/>
          <c:x val="0.261458333333333"/>
          <c:y val="0.1208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200" b="0" i="0" u="none" strike="noStrike" kern="1200" baseline="0">
                <a:solidFill>
                  <a:srgbClr val="000000"/>
                </a:solidFill>
                <a:latin typeface="宋体" charset="-122"/>
                <a:ea typeface="宋体" charset="-122"/>
                <a:cs typeface="宋体" charset="-122"/>
              </a:defRPr>
            </a:pPr>
            <a:r>
              <a:rPr lang="zh-CN" altLang="zh-CN" sz="1200"/>
              <a:t>图</a:t>
            </a:r>
            <a:r>
              <a:rPr lang="en-US" altLang="zh-CN" sz="1200"/>
              <a:t>9   2017-2022</a:t>
            </a:r>
            <a:r>
              <a:rPr lang="zh-CN" altLang="zh-CN" sz="1200"/>
              <a:t>年进出口总额</a:t>
            </a:r>
            <a:endParaRPr lang="zh-CN" altLang="zh-CN" sz="1200"/>
          </a:p>
        </c:rich>
      </c:tx>
      <c:layout>
        <c:manualLayout>
          <c:xMode val="edge"/>
          <c:yMode val="edge"/>
          <c:x val="0.292401897797628"/>
          <c:y val="0.00687285223367698"/>
        </c:manualLayout>
      </c:layout>
      <c:overlay val="0"/>
      <c:spPr>
        <a:noFill/>
        <a:ln>
          <a:noFill/>
        </a:ln>
      </c:spPr>
    </c:title>
    <c:autoTitleDeleted val="0"/>
    <c:plotArea>
      <c:layout>
        <c:manualLayout>
          <c:layoutTarget val="inner"/>
          <c:xMode val="edge"/>
          <c:yMode val="edge"/>
          <c:x val="0.0624301075268817"/>
          <c:y val="0.205227492739593"/>
          <c:w val="0.909075268817204"/>
          <c:h val="0.726266537592772"/>
        </c:manualLayout>
      </c:layout>
      <c:barChart>
        <c:barDir val="col"/>
        <c:grouping val="stacked"/>
        <c:varyColors val="0"/>
        <c:ser>
          <c:idx val="0"/>
          <c:order val="0"/>
          <c:tx>
            <c:strRef>
              <c:f>'[2022年统计公报图表集总(1)+(复件).xlsx]进出口总额'!$B$2</c:f>
              <c:strCache>
                <c:ptCount val="1"/>
                <c:pt idx="0">
                  <c:v>进口总额</c:v>
                </c:pt>
              </c:strCache>
            </c:strRef>
          </c:tx>
          <c:spPr>
            <a:solidFill>
              <a:srgbClr val="4F81BD"/>
            </a:solidFill>
            <a:ln>
              <a:noFill/>
            </a:ln>
          </c:spPr>
          <c:invertIfNegative val="0"/>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'[2022年统计公报图表集总(1)+(复件).xlsx]进出口总额'!$A$3:$A$8</c:f>
              <c:strCache>
                <c:ptCount val="6"/>
                <c:pt idx="0">
                  <c:v>2017年</c:v>
                </c:pt>
                <c:pt idx="1">
                  <c:v>2018年</c:v>
                </c:pt>
                <c:pt idx="2">
                  <c:v>2019年</c:v>
                </c:pt>
                <c:pt idx="3">
                  <c:v>2020年</c:v>
                </c:pt>
                <c:pt idx="4">
                  <c:v>2021年</c:v>
                </c:pt>
                <c:pt idx="5">
                  <c:v>2022年</c:v>
                </c:pt>
              </c:strCache>
            </c:strRef>
          </c:cat>
          <c:val>
            <c:numRef>
              <c:f>'[2022年统计公报图表集总(1)+(复件).xlsx]进出口总额'!$B$3:$B$8</c:f>
              <c:numCache>
                <c:formatCode>0.0_ </c:formatCode>
                <c:ptCount val="6"/>
                <c:pt idx="0">
                  <c:v>154.8</c:v>
                </c:pt>
                <c:pt idx="1">
                  <c:v>273.9</c:v>
                </c:pt>
                <c:pt idx="2">
                  <c:v>245</c:v>
                </c:pt>
                <c:pt idx="3">
                  <c:v>258</c:v>
                </c:pt>
                <c:pt idx="4">
                  <c:v>365.9</c:v>
                </c:pt>
                <c:pt idx="5">
                  <c:v>434.8</c:v>
                </c:pt>
              </c:numCache>
            </c:numRef>
          </c:val>
        </c:ser>
        <c:ser>
          <c:idx val="1"/>
          <c:order val="1"/>
          <c:tx>
            <c:strRef>
              <c:f>'[2022年统计公报图表集总(1)+(复件).xlsx]进出口总额'!$C$2</c:f>
              <c:strCache>
                <c:ptCount val="1"/>
                <c:pt idx="0">
                  <c:v>出口总额</c:v>
                </c:pt>
              </c:strCache>
            </c:strRef>
          </c:tx>
          <c:spPr>
            <a:solidFill>
              <a:srgbClr val="C0504D"/>
            </a:solidFill>
          </c:spPr>
          <c:invertIfNegative val="0"/>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000000"/>
                    </a:solidFill>
                    <a:latin typeface="宋体" charset="-122"/>
                    <a:ea typeface="宋体" charset="-122"/>
                    <a:cs typeface="宋体" charset="-12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'[2022年统计公报图表集总(1)+(复件).xlsx]进出口总额'!$A$3:$A$8</c:f>
              <c:strCache>
                <c:ptCount val="6"/>
                <c:pt idx="0">
                  <c:v>2017年</c:v>
                </c:pt>
                <c:pt idx="1">
                  <c:v>2018年</c:v>
                </c:pt>
                <c:pt idx="2">
                  <c:v>2019年</c:v>
                </c:pt>
                <c:pt idx="3">
                  <c:v>2020年</c:v>
                </c:pt>
                <c:pt idx="4">
                  <c:v>2021年</c:v>
                </c:pt>
                <c:pt idx="5">
                  <c:v>2022年</c:v>
                </c:pt>
              </c:strCache>
            </c:strRef>
          </c:cat>
          <c:val>
            <c:numRef>
              <c:f>'[2022年统计公报图表集总(1)+(复件).xlsx]进出口总额'!$C$3:$C$8</c:f>
              <c:numCache>
                <c:formatCode>General</c:formatCode>
                <c:ptCount val="6"/>
                <c:pt idx="0">
                  <c:v>55.5</c:v>
                </c:pt>
                <c:pt idx="1" c:formatCode="0.0_ ">
                  <c:v>67.24</c:v>
                </c:pt>
                <c:pt idx="2" c:formatCode="0.0_ ">
                  <c:v>86.3</c:v>
                </c:pt>
                <c:pt idx="3" c:formatCode="0.0_ ">
                  <c:v>110.3</c:v>
                </c:pt>
                <c:pt idx="4" c:formatCode="0.0_ ">
                  <c:v>110.5</c:v>
                </c:pt>
                <c:pt idx="5" c:formatCode="0.0_ ">
                  <c:v>170.8</c:v>
                </c:pt>
              </c:numCache>
            </c:numRef>
          </c:val>
        </c:ser>
        <c:dLbls>
          <c:showLegendKey val="0"/>
          <c:showVal val="0"/>
          <c:showCatName val="0"/>
          <c:showSerName val="0"/>
          <c:showPercent val="0"/>
          <c:showBubbleSize val="0"/>
        </c:dLbls>
        <c:gapWidth val="77"/>
        <c:overlap val="100"/>
        <c:axId val="0"/>
        <c:axId val="1"/>
      </c:barChart>
      <c:catAx>
        <c:axId val="0"/>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rgbClr val="000000"/>
                    </a:solidFill>
                    <a:latin typeface="宋体" charset="-122"/>
                    <a:ea typeface="宋体" charset="-122"/>
                    <a:cs typeface="宋体" charset="-122"/>
                  </a:defRPr>
                </a:pPr>
                <a:r>
                  <a:rPr sz="900"/>
                  <a:t>亿元</a:t>
                </a:r>
                <a:endParaRPr sz="900"/>
              </a:p>
            </c:rich>
          </c:tx>
          <c:layout>
            <c:manualLayout>
              <c:xMode val="edge"/>
              <c:yMode val="edge"/>
              <c:x val="0.00391338377250196"/>
              <c:y val="0.0617951774386332"/>
            </c:manualLayout>
          </c:layout>
          <c:overlay val="0"/>
        </c:title>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1"/>
        <c:crosses val="autoZero"/>
        <c:auto val="0"/>
        <c:lblAlgn val="ctr"/>
        <c:lblOffset val="100"/>
        <c:tickLblSkip val="1"/>
        <c:noMultiLvlLbl val="0"/>
      </c:catAx>
      <c:valAx>
        <c:axId val="1"/>
        <c:scaling>
          <c:orientation val="minMax"/>
        </c:scaling>
        <c:delete val="0"/>
        <c:axPos val="l"/>
        <c:majorGridlines>
          <c:spPr>
            <a:ln w="12700" cap="flat" cmpd="sng" algn="ctr">
              <a:solidFill>
                <a:schemeClr val="bg1">
                  <a:lumMod val="95000"/>
                </a:schemeClr>
              </a:solidFill>
              <a:prstDash val="solid"/>
              <a:round/>
            </a:ln>
          </c:spPr>
        </c:majorGridlines>
        <c:numFmt formatCode="0_);[Red]\(0\)" sourceLinked="0"/>
        <c:majorTickMark val="in"/>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crossAx val="0"/>
        <c:crosses val="autoZero"/>
        <c:crossBetween val="between"/>
        <c:majorUnit val="100"/>
        <c:minorUnit val="50"/>
      </c:valAx>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Entry>
      <c:layout>
        <c:manualLayout>
          <c:xMode val="edge"/>
          <c:yMode val="edge"/>
          <c:x val="0.353329027200776"/>
          <c:y val="0.0836884528763851"/>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000000"/>
              </a:solidFill>
              <a:latin typeface="宋体" charset="-122"/>
              <a:ea typeface="宋体" charset="-122"/>
              <a:cs typeface="宋体" charset="-122"/>
            </a:defRPr>
          </a:pPr>
        </a:p>
      </c:txPr>
    </c:legend>
    <c:plotVisOnly val="1"/>
    <c:dispBlanksAs val="gap"/>
    <c:showDLblsOverMax val="0"/>
  </c:chart>
  <c:spPr>
    <a:solidFill>
      <a:srgbClr val="FFFFFF"/>
    </a:solidFill>
    <a:ln w="3175" cap="flat" cmpd="sng" algn="ctr">
      <a:noFill/>
      <a:prstDash val="solid"/>
      <a:round/>
    </a:ln>
  </c:spPr>
  <c:txPr>
    <a:bodyPr rot="0" anchor="b" anchorCtr="0"/>
    <a:lstStyle/>
    <a:p>
      <a:pPr>
        <a:defRPr lang="zh-CN" sz="1000"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秀英区</Company>
  <Pages>30</Pages>
  <Words>11574</Words>
  <Characters>13407</Characters>
  <Lines>78</Lines>
  <Paragraphs>22</Paragraphs>
  <TotalTime>0</TotalTime>
  <ScaleCrop>false</ScaleCrop>
  <LinksUpToDate>false</LinksUpToDate>
  <CharactersWithSpaces>13612</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2022-01-23T14:59:00Z</dcterms:created>
  <dc:creator>HKTJJ</dc:creator>
  <cp:lastModifiedBy>huawei</cp:lastModifiedBy>
  <cp:lastPrinted>2023-02-03T18:39:00Z</cp:lastPrinted>
  <dcterms:modified xsi:type="dcterms:W3CDTF">2024-01-05T09:44:47Z</dcterms:modified>
  <dc:title>2020年海口市国民经济和社会发展统计公报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4C538E0B26DE4DFD9904228F7395F14F</vt:lpwstr>
  </property>
</Properties>
</file>