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b/>
          <w:bCs/>
          <w:kern w:val="0"/>
          <w:sz w:val="44"/>
          <w:szCs w:val="44"/>
        </w:rPr>
        <w:t>海南省科学技术厅 海南省财政厅</w:t>
      </w: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b/>
          <w:bCs/>
          <w:kern w:val="0"/>
          <w:sz w:val="44"/>
          <w:szCs w:val="44"/>
        </w:rPr>
        <w:t>关于印发《海南省高新技术企业发展专项和经费管理暂行办法》的通知</w:t>
      </w:r>
    </w:p>
    <w:p>
      <w:pPr>
        <w:widowControl/>
        <w:jc w:val="left"/>
        <w:rPr>
          <w:rFonts w:ascii="方正小标宋简体" w:hAnsi="宋体" w:eastAsia="方正小标宋简体" w:cs="宋体"/>
          <w:kern w:val="0"/>
          <w:sz w:val="44"/>
          <w:szCs w:val="44"/>
        </w:rPr>
      </w:pPr>
    </w:p>
    <w:p>
      <w:pPr>
        <w:widowControl/>
        <w:spacing w:line="580" w:lineRule="exact"/>
        <w:jc w:val="left"/>
        <w:rPr>
          <w:rFonts w:ascii="仿宋" w:hAnsi="仿宋" w:eastAsia="仿宋" w:cs="宋体"/>
          <w:kern w:val="0"/>
          <w:sz w:val="32"/>
          <w:szCs w:val="32"/>
        </w:rPr>
      </w:pPr>
      <w:r>
        <w:rPr>
          <w:rFonts w:ascii="仿宋" w:hAnsi="仿宋" w:eastAsia="仿宋" w:cs="宋体"/>
          <w:kern w:val="0"/>
          <w:sz w:val="32"/>
          <w:szCs w:val="32"/>
        </w:rPr>
        <w:t>各有关单位：</w:t>
      </w:r>
    </w:p>
    <w:p>
      <w:pPr>
        <w:widowControl/>
        <w:spacing w:line="580" w:lineRule="exact"/>
        <w:ind w:firstLine="480"/>
        <w:jc w:val="left"/>
        <w:rPr>
          <w:rFonts w:ascii="仿宋" w:hAnsi="仿宋" w:eastAsia="仿宋" w:cs="宋体"/>
          <w:kern w:val="0"/>
          <w:sz w:val="32"/>
          <w:szCs w:val="32"/>
        </w:rPr>
      </w:pPr>
      <w:r>
        <w:rPr>
          <w:rFonts w:ascii="仿宋" w:hAnsi="仿宋" w:eastAsia="仿宋" w:cs="宋体"/>
          <w:kern w:val="0"/>
          <w:sz w:val="32"/>
          <w:szCs w:val="32"/>
        </w:rPr>
        <w:t>为贯彻落实《海南省科技计划体系优化改革方案》（琼科〔2021〕250号），规范海南省高新技术企业发展专项和经费管理，省科技厅会同省财政厅制定了《海南省高新技术企业发展专项和经费管理暂行办法》。现予印发，请遵照执行。</w:t>
      </w:r>
    </w:p>
    <w:p>
      <w:pPr>
        <w:widowControl/>
        <w:spacing w:line="580" w:lineRule="exact"/>
        <w:jc w:val="left"/>
        <w:rPr>
          <w:rFonts w:ascii="仿宋" w:hAnsi="仿宋" w:eastAsia="仿宋" w:cs="宋体"/>
          <w:kern w:val="0"/>
          <w:sz w:val="32"/>
          <w:szCs w:val="32"/>
        </w:rPr>
      </w:pPr>
      <w:r>
        <w:rPr>
          <w:rFonts w:ascii="仿宋" w:hAnsi="仿宋" w:eastAsia="仿宋" w:cs="宋体"/>
          <w:spacing w:val="8"/>
          <w:kern w:val="0"/>
          <w:sz w:val="32"/>
          <w:szCs w:val="32"/>
        </w:rPr>
        <w:br w:type="textWrapping"/>
      </w:r>
      <w:r>
        <w:rPr>
          <w:rFonts w:ascii="仿宋" w:hAnsi="仿宋" w:eastAsia="仿宋" w:cs="宋体"/>
          <w:spacing w:val="8"/>
          <w:kern w:val="0"/>
          <w:sz w:val="32"/>
          <w:szCs w:val="32"/>
        </w:rPr>
        <w:t>附件：《海南省高新技术企业发展专项和经费管理暂行办法》</w:t>
      </w:r>
    </w:p>
    <w:p>
      <w:pPr>
        <w:widowControl/>
        <w:spacing w:line="580" w:lineRule="exact"/>
        <w:jc w:val="right"/>
        <w:rPr>
          <w:rFonts w:ascii="仿宋" w:hAnsi="仿宋" w:eastAsia="仿宋" w:cs="宋体"/>
          <w:kern w:val="0"/>
          <w:sz w:val="32"/>
          <w:szCs w:val="32"/>
        </w:rPr>
      </w:pPr>
    </w:p>
    <w:p>
      <w:pPr>
        <w:widowControl/>
        <w:spacing w:line="580" w:lineRule="exact"/>
        <w:jc w:val="right"/>
        <w:rPr>
          <w:rFonts w:ascii="仿宋" w:hAnsi="仿宋" w:eastAsia="仿宋" w:cs="宋体"/>
          <w:kern w:val="0"/>
          <w:sz w:val="32"/>
          <w:szCs w:val="32"/>
        </w:rPr>
      </w:pPr>
      <w:r>
        <w:rPr>
          <w:rFonts w:ascii="仿宋" w:hAnsi="仿宋" w:eastAsia="仿宋" w:cs="宋体"/>
          <w:kern w:val="0"/>
          <w:sz w:val="32"/>
          <w:szCs w:val="32"/>
        </w:rPr>
        <w:t>海南省科学技术厅 海南省财政厅</w:t>
      </w:r>
    </w:p>
    <w:p>
      <w:pPr>
        <w:widowControl/>
        <w:spacing w:line="580" w:lineRule="exact"/>
        <w:jc w:val="right"/>
        <w:rPr>
          <w:rFonts w:ascii="仿宋" w:hAnsi="仿宋" w:eastAsia="仿宋" w:cs="宋体"/>
          <w:kern w:val="0"/>
          <w:sz w:val="32"/>
          <w:szCs w:val="32"/>
        </w:rPr>
      </w:pPr>
      <w:r>
        <w:rPr>
          <w:rFonts w:ascii="仿宋" w:hAnsi="仿宋" w:eastAsia="仿宋" w:cs="宋体"/>
          <w:kern w:val="0"/>
          <w:sz w:val="32"/>
          <w:szCs w:val="32"/>
        </w:rPr>
        <w:t>2022年1月24日</w:t>
      </w:r>
    </w:p>
    <w:p>
      <w:pPr>
        <w:widowControl/>
        <w:spacing w:line="580" w:lineRule="exact"/>
        <w:jc w:val="left"/>
        <w:rPr>
          <w:rFonts w:ascii="仿宋" w:hAnsi="仿宋" w:eastAsia="仿宋" w:cs="宋体"/>
          <w:kern w:val="0"/>
          <w:sz w:val="32"/>
          <w:szCs w:val="32"/>
        </w:rPr>
      </w:pPr>
      <w:r>
        <w:rPr>
          <w:rFonts w:ascii="仿宋" w:hAnsi="仿宋" w:eastAsia="仿宋" w:cs="宋体"/>
          <w:kern w:val="0"/>
          <w:sz w:val="32"/>
          <w:szCs w:val="32"/>
        </w:rPr>
        <w:t>（此件主动公开）</w:t>
      </w:r>
    </w:p>
    <w:p>
      <w:pPr>
        <w:widowControl/>
        <w:spacing w:line="580" w:lineRule="exact"/>
        <w:jc w:val="left"/>
        <w:rPr>
          <w:rFonts w:ascii="仿宋" w:hAnsi="仿宋" w:eastAsia="仿宋" w:cs="宋体"/>
          <w:kern w:val="0"/>
          <w:sz w:val="32"/>
          <w:szCs w:val="32"/>
        </w:rPr>
      </w:pPr>
      <w:r>
        <w:rPr>
          <w:rFonts w:ascii="仿宋" w:hAnsi="仿宋" w:eastAsia="仿宋" w:cs="宋体"/>
          <w:kern w:val="0"/>
          <w:sz w:val="32"/>
          <w:szCs w:val="32"/>
        </w:rPr>
        <w:br w:type="textWrapping"/>
      </w:r>
    </w:p>
    <w:p>
      <w:pPr>
        <w:widowControl/>
        <w:shd w:val="clear" w:color="auto" w:fill="FFFFFF"/>
        <w:spacing w:line="580" w:lineRule="exact"/>
        <w:rPr>
          <w:rFonts w:ascii="仿宋" w:hAnsi="仿宋" w:eastAsia="仿宋" w:cs="宋体"/>
          <w:b/>
          <w:bCs/>
          <w:color w:val="333333"/>
          <w:spacing w:val="8"/>
          <w:kern w:val="0"/>
          <w:sz w:val="32"/>
          <w:szCs w:val="32"/>
        </w:rPr>
      </w:pPr>
    </w:p>
    <w:p>
      <w:pPr>
        <w:widowControl/>
        <w:shd w:val="clear" w:color="auto" w:fill="FFFFFF"/>
        <w:spacing w:line="580" w:lineRule="exact"/>
        <w:rPr>
          <w:rFonts w:ascii="仿宋" w:hAnsi="仿宋" w:eastAsia="仿宋" w:cs="宋体"/>
          <w:b/>
          <w:bCs/>
          <w:color w:val="333333"/>
          <w:spacing w:val="8"/>
          <w:kern w:val="0"/>
          <w:sz w:val="32"/>
          <w:szCs w:val="32"/>
        </w:rPr>
      </w:pPr>
    </w:p>
    <w:p>
      <w:pPr>
        <w:widowControl/>
        <w:shd w:val="clear" w:color="auto" w:fill="FFFFFF"/>
        <w:spacing w:line="580" w:lineRule="exact"/>
        <w:ind w:firstLine="675" w:firstLineChars="200"/>
        <w:rPr>
          <w:rFonts w:hint="eastAsia" w:ascii="黑体" w:hAnsi="黑体" w:eastAsia="黑体" w:cs="宋体"/>
          <w:b/>
          <w:bCs/>
          <w:color w:val="333333"/>
          <w:spacing w:val="8"/>
          <w:kern w:val="0"/>
          <w:sz w:val="32"/>
          <w:szCs w:val="32"/>
        </w:rPr>
      </w:pPr>
    </w:p>
    <w:p>
      <w:pPr>
        <w:widowControl/>
        <w:shd w:val="clear" w:color="auto" w:fill="FFFFFF"/>
        <w:spacing w:line="580" w:lineRule="exact"/>
        <w:ind w:firstLine="675" w:firstLineChars="200"/>
        <w:rPr>
          <w:rFonts w:hint="eastAsia" w:ascii="黑体" w:hAnsi="黑体" w:eastAsia="黑体" w:cs="宋体"/>
          <w:b/>
          <w:bCs/>
          <w:color w:val="333333"/>
          <w:spacing w:val="8"/>
          <w:kern w:val="0"/>
          <w:sz w:val="32"/>
          <w:szCs w:val="32"/>
        </w:rPr>
      </w:pPr>
    </w:p>
    <w:p>
      <w:pPr>
        <w:widowControl/>
        <w:shd w:val="clear" w:color="auto" w:fill="FFFFFF"/>
        <w:spacing w:line="580" w:lineRule="exact"/>
        <w:ind w:firstLine="675" w:firstLineChars="200"/>
        <w:rPr>
          <w:rFonts w:hint="eastAsia" w:ascii="黑体" w:hAnsi="黑体" w:eastAsia="黑体" w:cs="宋体"/>
          <w:b/>
          <w:bCs/>
          <w:color w:val="333333"/>
          <w:spacing w:val="8"/>
          <w:kern w:val="0"/>
          <w:sz w:val="32"/>
          <w:szCs w:val="32"/>
        </w:rPr>
      </w:pPr>
    </w:p>
    <w:p>
      <w:pPr>
        <w:widowControl/>
        <w:shd w:val="clear" w:color="auto" w:fill="FFFFFF"/>
        <w:spacing w:line="580" w:lineRule="exact"/>
        <w:rPr>
          <w:rFonts w:hint="eastAsia" w:ascii="黑体" w:hAnsi="黑体" w:eastAsia="黑体" w:cs="宋体"/>
          <w:b/>
          <w:bCs/>
          <w:color w:val="333333"/>
          <w:spacing w:val="8"/>
          <w:kern w:val="0"/>
          <w:sz w:val="32"/>
          <w:szCs w:val="32"/>
        </w:rPr>
      </w:pPr>
      <w:bookmarkStart w:id="0" w:name="_GoBack"/>
      <w:bookmarkEnd w:id="0"/>
    </w:p>
    <w:p>
      <w:pPr>
        <w:widowControl/>
        <w:shd w:val="clear" w:color="auto" w:fill="FFFFFF"/>
        <w:spacing w:line="580" w:lineRule="exact"/>
        <w:ind w:firstLine="675" w:firstLineChars="200"/>
        <w:rPr>
          <w:rFonts w:ascii="黑体" w:hAnsi="黑体" w:eastAsia="黑体" w:cs="宋体"/>
          <w:color w:val="333333"/>
          <w:spacing w:val="8"/>
          <w:kern w:val="0"/>
          <w:sz w:val="32"/>
          <w:szCs w:val="32"/>
        </w:rPr>
      </w:pPr>
      <w:r>
        <w:rPr>
          <w:rFonts w:hint="eastAsia" w:ascii="黑体" w:hAnsi="黑体" w:eastAsia="黑体" w:cs="宋体"/>
          <w:b/>
          <w:bCs/>
          <w:color w:val="333333"/>
          <w:spacing w:val="8"/>
          <w:kern w:val="0"/>
          <w:sz w:val="32"/>
          <w:szCs w:val="32"/>
        </w:rPr>
        <w:t>附件：</w:t>
      </w:r>
    </w:p>
    <w:p>
      <w:pPr>
        <w:widowControl/>
        <w:shd w:val="clear" w:color="auto" w:fill="FFFFFF"/>
        <w:spacing w:line="580" w:lineRule="exact"/>
        <w:rPr>
          <w:rFonts w:ascii="仿宋" w:hAnsi="仿宋" w:eastAsia="仿宋" w:cs="宋体"/>
          <w:color w:val="333333"/>
          <w:spacing w:val="8"/>
          <w:kern w:val="0"/>
          <w:sz w:val="32"/>
          <w:szCs w:val="32"/>
        </w:rPr>
      </w:pPr>
      <w:r>
        <w:rPr>
          <w:rFonts w:ascii="Calibri" w:hAnsi="Calibri" w:eastAsia="仿宋" w:cs="Calibri"/>
          <w:color w:val="333333"/>
          <w:spacing w:val="8"/>
          <w:kern w:val="0"/>
          <w:sz w:val="32"/>
          <w:szCs w:val="32"/>
        </w:rPr>
        <w:t> </w:t>
      </w:r>
    </w:p>
    <w:p>
      <w:pPr>
        <w:widowControl/>
        <w:shd w:val="clear" w:color="auto" w:fill="FFFFFF"/>
        <w:spacing w:line="580" w:lineRule="exact"/>
        <w:jc w:val="center"/>
        <w:rPr>
          <w:rFonts w:ascii="方正小标宋简体" w:hAnsi="仿宋" w:eastAsia="方正小标宋简体" w:cs="宋体"/>
          <w:color w:val="333333"/>
          <w:spacing w:val="8"/>
          <w:kern w:val="0"/>
          <w:sz w:val="44"/>
          <w:szCs w:val="44"/>
        </w:rPr>
      </w:pPr>
      <w:r>
        <w:rPr>
          <w:rFonts w:hint="eastAsia" w:ascii="方正小标宋简体" w:hAnsi="仿宋" w:eastAsia="方正小标宋简体" w:cs="宋体"/>
          <w:b/>
          <w:bCs/>
          <w:color w:val="000000"/>
          <w:spacing w:val="8"/>
          <w:kern w:val="0"/>
          <w:sz w:val="44"/>
          <w:szCs w:val="44"/>
          <w:shd w:val="clear" w:color="auto" w:fill="FEFEFE"/>
        </w:rPr>
        <w:t>海南省高新技术企业发展专项</w:t>
      </w:r>
    </w:p>
    <w:p>
      <w:pPr>
        <w:widowControl/>
        <w:shd w:val="clear" w:color="auto" w:fill="FFFFFF"/>
        <w:spacing w:line="580" w:lineRule="exact"/>
        <w:jc w:val="center"/>
        <w:rPr>
          <w:rFonts w:ascii="方正小标宋简体" w:hAnsi="仿宋" w:eastAsia="方正小标宋简体" w:cs="宋体"/>
          <w:color w:val="333333"/>
          <w:spacing w:val="8"/>
          <w:kern w:val="0"/>
          <w:sz w:val="44"/>
          <w:szCs w:val="44"/>
        </w:rPr>
      </w:pPr>
      <w:r>
        <w:rPr>
          <w:rFonts w:hint="eastAsia" w:ascii="方正小标宋简体" w:hAnsi="仿宋" w:eastAsia="方正小标宋简体" w:cs="宋体"/>
          <w:b/>
          <w:bCs/>
          <w:color w:val="000000"/>
          <w:spacing w:val="8"/>
          <w:kern w:val="0"/>
          <w:sz w:val="44"/>
          <w:szCs w:val="44"/>
          <w:shd w:val="clear" w:color="auto" w:fill="FEFEFE"/>
        </w:rPr>
        <w:t>和经费管理暂行办法</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jc w:val="center"/>
        <w:rPr>
          <w:rFonts w:ascii="黑体" w:hAnsi="黑体" w:eastAsia="黑体" w:cs="宋体"/>
          <w:color w:val="333333"/>
          <w:spacing w:val="8"/>
          <w:kern w:val="0"/>
          <w:sz w:val="32"/>
          <w:szCs w:val="32"/>
        </w:rPr>
      </w:pPr>
      <w:r>
        <w:rPr>
          <w:rFonts w:hint="eastAsia" w:ascii="黑体" w:hAnsi="黑体" w:eastAsia="黑体" w:cs="宋体"/>
          <w:b/>
          <w:bCs/>
          <w:color w:val="333333"/>
          <w:spacing w:val="8"/>
          <w:kern w:val="0"/>
          <w:sz w:val="32"/>
          <w:szCs w:val="32"/>
        </w:rPr>
        <w:t>第一章总则</w:t>
      </w:r>
    </w:p>
    <w:p>
      <w:pPr>
        <w:widowControl/>
        <w:shd w:val="clear" w:color="auto" w:fill="FFFFFF"/>
        <w:spacing w:line="580" w:lineRule="exact"/>
        <w:jc w:val="center"/>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第一条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为加强和规范海南省高新技术企业发展专项和经费使用管理，提高经费使用效率，根据《海南省支持高新技术企业发展若干政策（试行）》（琼府〔2020〕50号）、《国务院办公厅关于改革完善中央财政科研经费管理的若干意见》（国办发〔2021〕32号）、《海南省科技计划体系优化改革方案》（琼科〔2021〕250号）等文件，以及国家和海南省有关财经法规和财务管理制度，制定本办法。</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第二条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海南省高新技术企业发展专项（以下简称专项）聚焦企业技术创新主体，通过科研投入补助、科技金融、认定奖励等方式，引进和培育发展高新技术企业；支持重点园区、创新创业平台建设，促进科技成果转移转化，提升产业集聚和公共服务能力，为我省高新技术产业发展提供科技支撑。包括高新技术企业培育、园区科技创新、创新创业平台、省级技术创新与成果转化平台和科技金融服务等。</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第三条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海南省科学技术厅（以下简称省科技厅）根据专项所涉及方向的类型和性质，另行制定相应管理办法或实施细则。</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第四条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省科技厅负责专项管理工作。组织开展项目经费申报、审核、汇总，提出项目经费需求及安排建议；对项目经费使用情况进行监督、检查，对专项进行绩效管理,开展绩效评价工作，以及后期管理等工作。海南省财政厅（以下简称省财政厅）负责项目经费的预算安排；对省科技厅提出的项目经费分配建议进行审核；会同省科技厅对项目经费的使用情况进行监督。</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jc w:val="center"/>
        <w:rPr>
          <w:rFonts w:ascii="黑体" w:hAnsi="黑体" w:eastAsia="黑体" w:cs="宋体"/>
          <w:color w:val="333333"/>
          <w:spacing w:val="8"/>
          <w:kern w:val="0"/>
          <w:sz w:val="32"/>
          <w:szCs w:val="32"/>
        </w:rPr>
      </w:pPr>
      <w:r>
        <w:rPr>
          <w:rFonts w:hint="eastAsia" w:ascii="黑体" w:hAnsi="黑体" w:eastAsia="黑体" w:cs="宋体"/>
          <w:b/>
          <w:bCs/>
          <w:color w:val="333333"/>
          <w:spacing w:val="8"/>
          <w:kern w:val="0"/>
          <w:sz w:val="32"/>
          <w:szCs w:val="32"/>
        </w:rPr>
        <w:t>第二章 专项支持方向</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第五条</w:t>
      </w:r>
      <w:r>
        <w:rPr>
          <w:rFonts w:ascii="Calibri" w:hAnsi="Calibri" w:eastAsia="仿宋" w:cs="Calibri"/>
          <w:color w:val="333333"/>
          <w:spacing w:val="8"/>
          <w:kern w:val="0"/>
          <w:sz w:val="32"/>
          <w:szCs w:val="32"/>
        </w:rPr>
        <w:t> </w:t>
      </w:r>
      <w:r>
        <w:rPr>
          <w:rFonts w:hint="eastAsia" w:ascii="仿宋" w:hAnsi="仿宋" w:eastAsia="仿宋" w:cs="宋体"/>
          <w:color w:val="333333"/>
          <w:spacing w:val="8"/>
          <w:kern w:val="0"/>
          <w:sz w:val="32"/>
          <w:szCs w:val="32"/>
        </w:rPr>
        <w:t>专项主要支持：</w:t>
      </w: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color w:val="333333"/>
          <w:spacing w:val="8"/>
          <w:kern w:val="0"/>
          <w:sz w:val="32"/>
          <w:szCs w:val="32"/>
        </w:rPr>
        <w:t>（一）高新技术企业培育和引进。主要对获得认定的高新技术企业、整体迁入我省的高新技术企业和纳入高新技术企业培育库的企业的研发投入进行补贴奖励，鼓励企业加大研发投入。</w:t>
      </w: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color w:val="333333"/>
          <w:spacing w:val="8"/>
          <w:kern w:val="0"/>
          <w:sz w:val="32"/>
          <w:szCs w:val="32"/>
        </w:rPr>
        <w:t>（二）服务高新技术企业创新创业平台。主要对被认定为国家级高新技术产业开发区、省级高新技术产业开发区、省级科技创新创业载体、海南国际离岸创新创业试验区、省级技术创新与成果转化平台、省级公共技术服务平台、省级企业研发机构、省级产业技术研究机构等平台进行奖励及补助，奖励及补助经费主要用于平台建设、科技服务、科技成果应用示范及成果转化等。</w:t>
      </w: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color w:val="333333"/>
          <w:spacing w:val="8"/>
          <w:kern w:val="0"/>
          <w:sz w:val="32"/>
          <w:szCs w:val="32"/>
        </w:rPr>
        <w:t>（三）支持企业创新。通过科技创新券、科技金融等对企业研发活动进行补助，以及其他由海南省政府、海南省高新技术产业专班等会议确定的有关支持高新技术企业科技创新事项。省科技厅可根据工作需要对专项支持方向和范围进行增减。</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第六条</w:t>
      </w:r>
      <w:r>
        <w:rPr>
          <w:rFonts w:ascii="Calibri" w:hAnsi="Calibri" w:eastAsia="仿宋" w:cs="Calibri"/>
          <w:color w:val="333333"/>
          <w:spacing w:val="8"/>
          <w:kern w:val="0"/>
          <w:sz w:val="32"/>
          <w:szCs w:val="32"/>
        </w:rPr>
        <w:t> </w:t>
      </w:r>
      <w:r>
        <w:rPr>
          <w:rFonts w:hint="eastAsia" w:ascii="仿宋" w:hAnsi="仿宋" w:eastAsia="仿宋" w:cs="宋体"/>
          <w:color w:val="333333"/>
          <w:spacing w:val="8"/>
          <w:kern w:val="0"/>
          <w:sz w:val="32"/>
          <w:szCs w:val="32"/>
        </w:rPr>
        <w:t>根据省委、省政府决策部署，对需要支持的事项可采取“一事一议”的方式予以支持。</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jc w:val="center"/>
        <w:rPr>
          <w:rFonts w:ascii="黑体" w:hAnsi="黑体" w:eastAsia="黑体" w:cs="宋体"/>
          <w:color w:val="333333"/>
          <w:spacing w:val="8"/>
          <w:kern w:val="0"/>
          <w:sz w:val="32"/>
          <w:szCs w:val="32"/>
        </w:rPr>
      </w:pPr>
      <w:r>
        <w:rPr>
          <w:rFonts w:hint="eastAsia" w:ascii="黑体" w:hAnsi="黑体" w:eastAsia="黑体" w:cs="宋体"/>
          <w:b/>
          <w:bCs/>
          <w:color w:val="333333"/>
          <w:spacing w:val="8"/>
          <w:kern w:val="0"/>
          <w:sz w:val="32"/>
          <w:szCs w:val="32"/>
        </w:rPr>
        <w:t>第三章 专项管理</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第七条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发布申报通知。省科技厅根据要求，结合省委、省政府年度工作部署，发布项目经费申报通知。</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第八条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申报。符合条件的申报单位根据通知要求填报相关材料，按要求向省级科技管理部门或市县科技管理部门提交材料，并对所提供材料的真实性负责。</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第九条</w:t>
      </w:r>
      <w:r>
        <w:rPr>
          <w:rFonts w:ascii="Calibri" w:hAnsi="Calibri" w:eastAsia="仿宋" w:cs="Calibri"/>
          <w:color w:val="333333"/>
          <w:spacing w:val="8"/>
          <w:kern w:val="0"/>
          <w:sz w:val="32"/>
          <w:szCs w:val="32"/>
        </w:rPr>
        <w:t> </w:t>
      </w:r>
      <w:r>
        <w:rPr>
          <w:rFonts w:hint="eastAsia" w:ascii="仿宋" w:hAnsi="仿宋" w:eastAsia="仿宋" w:cs="宋体"/>
          <w:color w:val="333333"/>
          <w:spacing w:val="8"/>
          <w:kern w:val="0"/>
          <w:sz w:val="32"/>
          <w:szCs w:val="32"/>
        </w:rPr>
        <w:t>受理。省科技厅职能处室或市县科技管理部门对申报材料进行形式审查，符合条件的给予受理。</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第十条</w:t>
      </w:r>
      <w:r>
        <w:rPr>
          <w:rFonts w:ascii="Calibri" w:hAnsi="Calibri" w:eastAsia="仿宋" w:cs="Calibri"/>
          <w:color w:val="333333"/>
          <w:spacing w:val="8"/>
          <w:kern w:val="0"/>
          <w:sz w:val="32"/>
          <w:szCs w:val="32"/>
        </w:rPr>
        <w:t> </w:t>
      </w:r>
      <w:r>
        <w:rPr>
          <w:rFonts w:hint="eastAsia" w:ascii="仿宋" w:hAnsi="仿宋" w:eastAsia="仿宋" w:cs="宋体"/>
          <w:color w:val="333333"/>
          <w:spacing w:val="8"/>
          <w:kern w:val="0"/>
          <w:sz w:val="32"/>
          <w:szCs w:val="32"/>
        </w:rPr>
        <w:t>初审。省科技厅职能处室或市县科技管理部门组织对申报单位申报材料进行审核，可根据需要进行实地考察，提出初审意见。由市县科技管理部门进行初审的，应以书面形式将初审意见报省科技厅。</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第十一条</w:t>
      </w:r>
      <w:r>
        <w:rPr>
          <w:rFonts w:ascii="Calibri" w:hAnsi="Calibri" w:eastAsia="仿宋" w:cs="Calibri"/>
          <w:color w:val="333333"/>
          <w:spacing w:val="8"/>
          <w:kern w:val="0"/>
          <w:sz w:val="32"/>
          <w:szCs w:val="32"/>
        </w:rPr>
        <w:t> </w:t>
      </w:r>
      <w:r>
        <w:rPr>
          <w:rFonts w:hint="eastAsia" w:ascii="仿宋" w:hAnsi="仿宋" w:eastAsia="仿宋" w:cs="宋体"/>
          <w:color w:val="333333"/>
          <w:spacing w:val="8"/>
          <w:kern w:val="0"/>
          <w:sz w:val="32"/>
          <w:szCs w:val="32"/>
        </w:rPr>
        <w:t>复核。省科技厅对初审意见进行复核，可根据需要组织专家进行评审，出具复核意见并按程序报批。</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第十二条</w:t>
      </w:r>
      <w:r>
        <w:rPr>
          <w:rFonts w:ascii="Calibri" w:hAnsi="Calibri" w:eastAsia="仿宋" w:cs="Calibri"/>
          <w:color w:val="333333"/>
          <w:spacing w:val="8"/>
          <w:kern w:val="0"/>
          <w:sz w:val="32"/>
          <w:szCs w:val="32"/>
        </w:rPr>
        <w:t> </w:t>
      </w:r>
      <w:r>
        <w:rPr>
          <w:rFonts w:hint="eastAsia" w:ascii="仿宋" w:hAnsi="仿宋" w:eastAsia="仿宋" w:cs="宋体"/>
          <w:color w:val="333333"/>
          <w:spacing w:val="8"/>
          <w:kern w:val="0"/>
          <w:sz w:val="32"/>
          <w:szCs w:val="32"/>
        </w:rPr>
        <w:t>公示。对拟支持的单位，省科技厅通过官方网站等媒介向社会公示，公示期一般为5个工作日。公示无异议后，由省科技厅向省财政厅提交拟支持单位名单及金额建议。</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第十三条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经费拨付。省科技厅、省财政厅按规定将符合条件的项目编入预算，预算批复后拨付。第四章项目经费管理</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第十四条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项目经费管理遵循公开、公平、公正的原则，以结果为导向，突出重点，讲求绩效。</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第十五条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省科技厅要制定项目经费各支持方向的具体管理办法，明确科学、合理、具体的考核评价指标，以及相应的考核评价方式（方法）。涉及经费的应会同财政部门印发。项目经费分配使用时，要明确具体绩效目标，省科技厅、省财政厅适时选取部分项目经费使用单位开展绩效评价工作，强化绩效评价结果应用，切实发挥经费使用绩效。</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第十六条</w:t>
      </w:r>
      <w:r>
        <w:rPr>
          <w:rFonts w:ascii="Calibri" w:hAnsi="Calibri" w:eastAsia="仿宋" w:cs="Calibri"/>
          <w:color w:val="333333"/>
          <w:spacing w:val="8"/>
          <w:kern w:val="0"/>
          <w:sz w:val="32"/>
          <w:szCs w:val="32"/>
        </w:rPr>
        <w:t> </w:t>
      </w:r>
      <w:r>
        <w:rPr>
          <w:rFonts w:hint="eastAsia" w:ascii="仿宋" w:hAnsi="仿宋" w:eastAsia="仿宋" w:cs="宋体"/>
          <w:color w:val="333333"/>
          <w:spacing w:val="8"/>
          <w:kern w:val="0"/>
          <w:sz w:val="32"/>
          <w:szCs w:val="32"/>
        </w:rPr>
        <w:t>项目支持标准</w:t>
      </w: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color w:val="333333"/>
          <w:spacing w:val="8"/>
          <w:kern w:val="0"/>
          <w:sz w:val="32"/>
          <w:szCs w:val="32"/>
        </w:rPr>
        <w:t>（一）高新技术企业培育和引进的研发投入补助按《海南省促进经济高质量发展若干财政措施》（琼府办〔2021〕65号）等规定执行。</w:t>
      </w: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color w:val="333333"/>
          <w:spacing w:val="8"/>
          <w:kern w:val="0"/>
          <w:sz w:val="32"/>
          <w:szCs w:val="32"/>
        </w:rPr>
        <w:t>（二）高新技术企业创新创业平台补助具体如下：1.省级技术创新与成果转化平台、省级公共技术服务平台、省级产业技术研究机构等专业公共服务平台建设补贴和奖励，省级企业研发机构、国家级高新技术开发区补助按《海南省促进经济高质量发展若干财政措施》（琼府办〔2021〕65号）规定执行。2.省级科技创新创业载体按《中共海南省委海南省人民政府关于加快科技创新的实施意见》（琼发〔2017〕12号）规定执行。3.省级高新技术产业开发区补助按《海南省省级高新技术产业开发区认定管理办法》（琼府办〔2017〕45号）规定执行。</w:t>
      </w: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color w:val="333333"/>
          <w:spacing w:val="8"/>
          <w:kern w:val="0"/>
          <w:sz w:val="32"/>
          <w:szCs w:val="32"/>
        </w:rPr>
        <w:t>（三）科技创新券补助按《海南省科技创新券管理办法》执行，科技金融补助按《海南省科技信贷风险补偿管理暂行办法》及科技成果转化投资基金等相关规定执行。</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第十七条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省科技厅于每年按规定向省财政厅报送上一年度项目经费和政策绩效自评报告，包括经费实施情况，绩效情况等，作为下一年度安排预算的重要参考依据。</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jc w:val="center"/>
        <w:rPr>
          <w:rFonts w:ascii="黑体" w:hAnsi="黑体" w:eastAsia="黑体" w:cs="宋体"/>
          <w:color w:val="333333"/>
          <w:spacing w:val="8"/>
          <w:kern w:val="0"/>
          <w:sz w:val="32"/>
          <w:szCs w:val="32"/>
        </w:rPr>
      </w:pPr>
      <w:r>
        <w:rPr>
          <w:rFonts w:hint="eastAsia" w:ascii="黑体" w:hAnsi="黑体" w:eastAsia="黑体" w:cs="宋体"/>
          <w:b/>
          <w:bCs/>
          <w:color w:val="333333"/>
          <w:spacing w:val="8"/>
          <w:kern w:val="0"/>
          <w:sz w:val="32"/>
          <w:szCs w:val="32"/>
        </w:rPr>
        <w:t>第五章 监督检查</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第十八条</w:t>
      </w:r>
      <w:r>
        <w:rPr>
          <w:rFonts w:ascii="Calibri" w:hAnsi="Calibri" w:eastAsia="仿宋" w:cs="Calibri"/>
          <w:color w:val="333333"/>
          <w:spacing w:val="8"/>
          <w:kern w:val="0"/>
          <w:sz w:val="32"/>
          <w:szCs w:val="32"/>
        </w:rPr>
        <w:t> </w:t>
      </w:r>
      <w:r>
        <w:rPr>
          <w:rFonts w:hint="eastAsia" w:ascii="仿宋" w:hAnsi="仿宋" w:eastAsia="仿宋" w:cs="宋体"/>
          <w:color w:val="333333"/>
          <w:spacing w:val="8"/>
          <w:kern w:val="0"/>
          <w:sz w:val="32"/>
          <w:szCs w:val="32"/>
        </w:rPr>
        <w:t>省科技厅、省财政厅、相关主管部门、专业机构和项目经费使用单位根据职责和分工，建立覆盖项目经费管理使用全过程的监督机制。加强审计监督、财会监督与日常监督的贯通协调，增强监督合力，加强信息共享，避免交叉重复。</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第十九条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创新监督检查方式，实行随机抽查、检查，利用大数据等信息技术手段，提高监督检查效率。</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第二十条</w:t>
      </w:r>
      <w:r>
        <w:rPr>
          <w:rFonts w:ascii="Calibri" w:hAnsi="Calibri" w:eastAsia="仿宋" w:cs="Calibri"/>
          <w:color w:val="333333"/>
          <w:spacing w:val="8"/>
          <w:kern w:val="0"/>
          <w:sz w:val="32"/>
          <w:szCs w:val="32"/>
        </w:rPr>
        <w:t> </w:t>
      </w:r>
      <w:r>
        <w:rPr>
          <w:rFonts w:hint="eastAsia" w:ascii="仿宋" w:hAnsi="仿宋" w:eastAsia="仿宋" w:cs="宋体"/>
          <w:color w:val="333333"/>
          <w:spacing w:val="8"/>
          <w:kern w:val="0"/>
          <w:sz w:val="32"/>
          <w:szCs w:val="32"/>
        </w:rPr>
        <w:t>监督检查和验收过程中发现重要疑点和线索需要深入核查的，省科技厅、省财政厅可以移交相关单位的主管部门。主管部门应当按照有关规定和要求及时进行核查，并将核查结果及处理意见反馈省科技厅、省财政厅。</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第二十一条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存在违规违纪或违法且造成严重后果或恶劣影响的责任主体，记入科研诚信严重失信行为数据库，对严重失信行为实行追责和惩戒，加强与其他社会信用体系衔接，实施联合惩戒。</w:t>
      </w: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第二十二条</w:t>
      </w:r>
      <w:r>
        <w:rPr>
          <w:rFonts w:ascii="Calibri" w:hAnsi="Calibri" w:eastAsia="仿宋" w:cs="Calibri"/>
          <w:color w:val="333333"/>
          <w:spacing w:val="8"/>
          <w:kern w:val="0"/>
          <w:sz w:val="32"/>
          <w:szCs w:val="32"/>
        </w:rPr>
        <w:t> </w:t>
      </w:r>
      <w:r>
        <w:rPr>
          <w:rFonts w:hint="eastAsia" w:ascii="仿宋" w:hAnsi="仿宋" w:eastAsia="仿宋" w:cs="宋体"/>
          <w:color w:val="333333"/>
          <w:spacing w:val="8"/>
          <w:kern w:val="0"/>
          <w:sz w:val="32"/>
          <w:szCs w:val="32"/>
        </w:rPr>
        <w:t>相关工作人员存在违反本办法安排专项经费或其他滥用职权、玩忽职守、徇私舞弊等违法违纪行为的，依照有关法律规定追究相应责任，涉嫌犯罪的，依法移送司法机关处理。</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第二十三条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省科技厅、省财政厅按照信用管理相关规定，对参与科技活动的专业机构、项目经费使用单位、会计师事务所、咨询评审专家等单位和个人进行记录和信用评价，并加强对信用结果的应用。</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第二十四条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申报主体须对经费申报资料的真实性、合法性、合规性负责；省科技厅保证审核和认定工作的公平公正。</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jc w:val="center"/>
        <w:rPr>
          <w:rFonts w:ascii="黑体" w:hAnsi="黑体" w:eastAsia="黑体" w:cs="宋体"/>
          <w:color w:val="333333"/>
          <w:spacing w:val="8"/>
          <w:kern w:val="0"/>
          <w:sz w:val="32"/>
          <w:szCs w:val="32"/>
        </w:rPr>
      </w:pPr>
      <w:r>
        <w:rPr>
          <w:rFonts w:hint="eastAsia" w:ascii="黑体" w:hAnsi="黑体" w:eastAsia="黑体" w:cs="宋体"/>
          <w:b/>
          <w:bCs/>
          <w:color w:val="333333"/>
          <w:spacing w:val="8"/>
          <w:kern w:val="0"/>
          <w:sz w:val="32"/>
          <w:szCs w:val="32"/>
        </w:rPr>
        <w:t>第六章 附则</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第二十五条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本暂行办法由省科技厅、省财政厅负责解释。</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第二十六条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法律、法规及政策另有规定的，从其规定。</w:t>
      </w:r>
    </w:p>
    <w:p>
      <w:pPr>
        <w:widowControl/>
        <w:shd w:val="clear" w:color="auto" w:fill="FFFFFF"/>
        <w:spacing w:line="580" w:lineRule="exact"/>
        <w:rPr>
          <w:rFonts w:ascii="仿宋" w:hAnsi="仿宋" w:eastAsia="仿宋" w:cs="宋体"/>
          <w:color w:val="333333"/>
          <w:spacing w:val="8"/>
          <w:kern w:val="0"/>
          <w:sz w:val="32"/>
          <w:szCs w:val="32"/>
        </w:rPr>
      </w:pPr>
    </w:p>
    <w:p>
      <w:pPr>
        <w:widowControl/>
        <w:shd w:val="clear" w:color="auto" w:fill="FFFFFF"/>
        <w:spacing w:line="580" w:lineRule="exact"/>
        <w:rPr>
          <w:rFonts w:ascii="仿宋" w:hAnsi="仿宋" w:eastAsia="仿宋" w:cs="宋体"/>
          <w:color w:val="333333"/>
          <w:spacing w:val="8"/>
          <w:kern w:val="0"/>
          <w:sz w:val="32"/>
          <w:szCs w:val="32"/>
        </w:rPr>
      </w:pPr>
      <w:r>
        <w:rPr>
          <w:rFonts w:hint="eastAsia" w:ascii="仿宋" w:hAnsi="仿宋" w:eastAsia="仿宋" w:cs="宋体"/>
          <w:b/>
          <w:bCs/>
          <w:color w:val="333333"/>
          <w:spacing w:val="8"/>
          <w:kern w:val="0"/>
          <w:sz w:val="32"/>
          <w:szCs w:val="32"/>
        </w:rPr>
        <w:t>第二十七条</w:t>
      </w:r>
      <w:r>
        <w:rPr>
          <w:rFonts w:ascii="Calibri" w:hAnsi="Calibri" w:eastAsia="仿宋" w:cs="Calibri"/>
          <w:b/>
          <w:bCs/>
          <w:color w:val="333333"/>
          <w:spacing w:val="8"/>
          <w:kern w:val="0"/>
          <w:sz w:val="32"/>
          <w:szCs w:val="32"/>
        </w:rPr>
        <w:t> </w:t>
      </w:r>
      <w:r>
        <w:rPr>
          <w:rFonts w:hint="eastAsia" w:ascii="仿宋" w:hAnsi="仿宋" w:eastAsia="仿宋" w:cs="宋体"/>
          <w:color w:val="333333"/>
          <w:spacing w:val="8"/>
          <w:kern w:val="0"/>
          <w:sz w:val="32"/>
          <w:szCs w:val="32"/>
        </w:rPr>
        <w:t>本办法自2022年2月26日起施行，有效期3年。省财政厅、省科技厅印发的《海南省高新技术产业发展专项资金管理暂行办法》（琼财教规〔2021〕6号）同时废止。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D0"/>
    <w:rsid w:val="005269F6"/>
    <w:rsid w:val="005A5DE8"/>
    <w:rsid w:val="005F7D65"/>
    <w:rsid w:val="008346A1"/>
    <w:rsid w:val="00A62ED0"/>
    <w:rsid w:val="00EC207E"/>
    <w:rsid w:val="018016D5"/>
    <w:rsid w:val="2A7863DE"/>
    <w:rsid w:val="6143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470</Words>
  <Characters>2683</Characters>
  <Lines>22</Lines>
  <Paragraphs>6</Paragraphs>
  <TotalTime>1</TotalTime>
  <ScaleCrop>false</ScaleCrop>
  <LinksUpToDate>false</LinksUpToDate>
  <CharactersWithSpaces>3147</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2022-02-08T08:47:00Z</dcterms:created>
  <dc:creator>张 晋铭</dc:creator>
  <cp:lastModifiedBy>王淑超</cp:lastModifiedBy>
  <dcterms:modified xsi:type="dcterms:W3CDTF">2022-02-08T09:25:47Z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