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pacing w:line="440" w:lineRule="exact"/>
        <w:jc w:val="center"/>
        <w:rPr>
          <w:rFonts w:ascii="方正小标宋简体" w:hAnsi="方正小标宋简体" w:eastAsia="方正小标宋简体" w:cs="方正小标宋简体"/>
          <w:b/>
          <w:color w:val="000000" w:themeColor="text1"/>
          <w:kern w:val="44"/>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ascii="方正小标宋简体" w:hAnsi="方正小标宋简体" w:eastAsia="方正小标宋简体" w:cs="方正小标宋简体"/>
          <w:b w:val="0"/>
          <w:bCs/>
          <w:color w:val="000000" w:themeColor="text1"/>
          <w:w w:val="90"/>
          <w:kern w:val="44"/>
          <w:sz w:val="44"/>
          <w:szCs w:val="22"/>
          <w14:textFill>
            <w14:solidFill>
              <w14:schemeClr w14:val="tx1"/>
            </w14:solidFill>
          </w14:textFill>
        </w:rPr>
      </w:pPr>
      <w:bookmarkStart w:id="1" w:name="_GoBack"/>
      <w:bookmarkStart w:id="0" w:name="_Toc8924"/>
      <w:r>
        <w:rPr>
          <w:rFonts w:hint="eastAsia" w:ascii="方正小标宋简体" w:hAnsi="方正小标宋简体" w:eastAsia="方正小标宋简体" w:cs="方正小标宋简体"/>
          <w:b w:val="0"/>
          <w:bCs/>
          <w:color w:val="000000" w:themeColor="text1"/>
          <w:w w:val="90"/>
          <w:kern w:val="44"/>
          <w:sz w:val="44"/>
          <w:szCs w:val="22"/>
          <w14:textFill>
            <w14:solidFill>
              <w14:schemeClr w14:val="tx1"/>
            </w14:solidFill>
          </w14:textFill>
        </w:rPr>
        <w:t>国务院关于进一步做好利用外资工作的意见</w:t>
      </w:r>
      <w:bookmarkEnd w:id="0"/>
    </w:p>
    <w:bookmarkEnd w:id="1"/>
    <w:p>
      <w:pPr>
        <w:pageBreakBefore w:val="0"/>
        <w:kinsoku/>
        <w:overflowPunct/>
        <w:topLinePunct w:val="0"/>
        <w:autoSpaceDE/>
        <w:autoSpaceDN/>
        <w:bidi w:val="0"/>
        <w:adjustRightInd/>
        <w:spacing w:line="440" w:lineRule="exact"/>
        <w:ind w:firstLine="560"/>
        <w:jc w:val="center"/>
        <w:rPr>
          <w:rFonts w:ascii="方正小标宋简体" w:hAnsi="方正小标宋简体" w:eastAsia="方正小标宋简体" w:cs="方正小标宋简体"/>
          <w:color w:val="000000" w:themeColor="text1"/>
          <w:sz w:val="28"/>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36"/>
          <w14:textFill>
            <w14:solidFill>
              <w14:schemeClr w14:val="tx1"/>
            </w14:solidFill>
          </w14:textFill>
        </w:rPr>
        <w:t>国发〔2019〕</w:t>
      </w:r>
      <w:r>
        <w:rPr>
          <w:rFonts w:ascii="方正小标宋简体" w:hAnsi="方正小标宋简体" w:eastAsia="方正小标宋简体" w:cs="方正小标宋简体"/>
          <w:color w:val="000000" w:themeColor="text1"/>
          <w:sz w:val="28"/>
          <w:szCs w:val="36"/>
          <w14:textFill>
            <w14:solidFill>
              <w14:schemeClr w14:val="tx1"/>
            </w14:solidFill>
          </w14:textFill>
        </w:rPr>
        <w:t>23</w:t>
      </w:r>
      <w:r>
        <w:rPr>
          <w:rFonts w:hint="eastAsia" w:ascii="方正小标宋简体" w:hAnsi="方正小标宋简体" w:eastAsia="方正小标宋简体" w:cs="方正小标宋简体"/>
          <w:color w:val="000000" w:themeColor="text1"/>
          <w:sz w:val="28"/>
          <w:szCs w:val="36"/>
          <w14:textFill>
            <w14:solidFill>
              <w14:schemeClr w14:val="tx1"/>
            </w14:solidFill>
          </w14:textFill>
        </w:rPr>
        <w:t>号</w:t>
      </w:r>
    </w:p>
    <w:p>
      <w:pPr>
        <w:pStyle w:val="2"/>
        <w:pageBreakBefore w:val="0"/>
        <w:widowControl/>
        <w:shd w:val="clear" w:color="auto" w:fill="FFFFFF"/>
        <w:kinsoku/>
        <w:overflowPunct/>
        <w:topLinePunct w:val="0"/>
        <w:autoSpaceDE/>
        <w:autoSpaceDN/>
        <w:bidi w:val="0"/>
        <w:adjustRightInd/>
        <w:spacing w:beforeAutospacing="0" w:afterAutospacing="0" w:line="440" w:lineRule="exact"/>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各省、自治区、直辖市人民政府，国务院各部委、各直属机构：</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外开放是我国基本国策。外资在我国经济发展中发挥了独特而重要的作用，推动高质量发展、推进现代化建设必须始终高度重视利用外资。当前，国际投资格局深刻调整，我国利用外资工作面临新形势、新特点、新挑战。为深入贯彻习近平新时代中国特色社会主义思想，全面贯彻党的十九大和十九届二中、三中、四中全会精神，统筹推进“五位一体”总体布局，协调推进“四个全面”战略布局，落实党中央、国务院关于稳外资工作的决策部署，以激发市场活力、提振投资信心为出发点，以保障外商投资企业国民待遇为重点，以打造公开、透明、可预期的外商投资环境为着力点，持续深化“放管服”改革，进一步做好利用外资工作，稳定外资规模，优化外资结构，现提出以下意见。</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黑体" w:hAnsi="黑体" w:eastAsia="黑体" w:cs="仿宋_GB2312"/>
          <w:color w:val="000000" w:themeColor="text1"/>
          <w:sz w:val="32"/>
          <w:szCs w:val="32"/>
          <w:shd w:val="clear" w:color="auto" w:fill="FFFFFF"/>
          <w14:textFill>
            <w14:solidFill>
              <w14:schemeClr w14:val="tx1"/>
            </w14:solidFill>
          </w14:textFill>
        </w:rPr>
      </w:pPr>
      <w:r>
        <w:rPr>
          <w:rFonts w:hint="eastAsia" w:ascii="黑体" w:hAnsi="黑体" w:eastAsia="黑体" w:cs="仿宋_GB2312"/>
          <w:color w:val="000000" w:themeColor="text1"/>
          <w:sz w:val="32"/>
          <w:szCs w:val="32"/>
          <w:shd w:val="clear" w:color="auto" w:fill="FFFFFF"/>
          <w14:textFill>
            <w14:solidFill>
              <w14:schemeClr w14:val="tx1"/>
            </w14:solidFill>
          </w14:textFill>
        </w:rPr>
        <w:t>一、深化对外开放</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支持外商投资新开放领域。继续压减全国和自由贸易试验区外商投资准入负面清单，全面清理取消未纳入负面清单的限制措施，保障开放举措有效实施，持续提升开放水平。（发展改革委、商务部牵头，各有关部门、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加快金融业开放进程。全面取消在华外资银行、证券公司、基金管理公司等金融机构业务范围限制，丰富市场供给，增强市场活力。减少外国投资者投资设立银行业、保险业机构和开展相关业务的数量型准入条件，取消外国银行来华设立外资法人银行、分行的总资产要求，取消外国保险经纪公司在华经营保险经纪业务的经营年限、总资产要求。扩大投资入股外资银行和外资保险机构的股东范围，取消中外合资银行中方唯一或主要股东必须是金融机构的要求，允许外国保险集团公司投资设立保险类机构。继续支持按照内外资一致的原则办理外资保险公司及其分支机构设立及变更等行政许可事项。2020年取消证券公司、证券投资基金管理公司、期货公司、寿险公司外资持股比例不超过51%的限制。（人民银行、银保监会、证监会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优化汽车领域外资政策。各地区要保障内外资汽车制造企业生产的新能源汽车享受同等市场准入待遇。修订乘用车企业平均燃料消耗量与新能源汽车积分并行管理办法，在外方与中方合资伙伴协商一致后，允许外方在华投资的整车企业之间转让积分。（工业和信息化部、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着力营造公平经营环境。各地区、各部门要着力提高市场的公平性，及时纠正违反公平竞争的做法，着力消除妨害公平竞争的制度性障碍。统一内外资建筑业企业承揽业务范围。完善外国投资者申请从事互联网上网服务营业场所、娱乐场所经营等业务相关规定。坚持按照内外资机构同等待遇原则，开展强制性产品认证机构的资质审批工作。增加化学品物理危险性鉴定机构数量，不得针对外商投资企业设置限制性条件。（发展改革委、住房城乡建设部、商务部、文化和旅游部、应急部、市场监管总局、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黑体" w:hAnsi="黑体" w:eastAsia="黑体" w:cs="仿宋_GB2312"/>
          <w:color w:val="000000" w:themeColor="text1"/>
          <w:sz w:val="32"/>
          <w:szCs w:val="32"/>
          <w:shd w:val="clear" w:color="auto" w:fill="FFFFFF"/>
          <w14:textFill>
            <w14:solidFill>
              <w14:schemeClr w14:val="tx1"/>
            </w14:solidFill>
          </w14:textFill>
        </w:rPr>
      </w:pPr>
      <w:r>
        <w:rPr>
          <w:rFonts w:hint="eastAsia" w:ascii="黑体" w:hAnsi="黑体" w:eastAsia="黑体" w:cs="仿宋_GB2312"/>
          <w:color w:val="000000" w:themeColor="text1"/>
          <w:sz w:val="32"/>
          <w:szCs w:val="32"/>
          <w:shd w:val="clear" w:color="auto" w:fill="FFFFFF"/>
          <w14:textFill>
            <w14:solidFill>
              <w14:schemeClr w14:val="tx1"/>
            </w14:solidFill>
          </w14:textFill>
        </w:rPr>
        <w:t>二、加大投资促进力度</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优化外商投资企业科技创新服务。加强对外商投资企业申请高新技术企业认定的指导和服务，组织开展政策专题培训，加强政策宣传，鼓励和引导外资更多投向高新技术产业。（科技部、财政部、税务总局、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提升自由贸易试验区建设水平。支持地方和部门聚焦市场主体期盼，提出支持自由贸易试验区进一步扩大开放和创新发展的具体措施，推进相关深层次改革事项在自由贸易试验区先行先试，充分发挥自由贸易试验区改革开放试验田作用。对有条件的自由贸易试验区下放更多省级经济管理审批权限，尤其是投资审批、市场准入等权限。（商务部牵头，发展改革委等有关部门、各有关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七）提升开放平台引资质量。鼓励地方人民政府对有条件建设具有较强竞争力产业集群的国家级经济技术开发区予以支持，打造品牌化招商引资平台。建立重点企业联系制度，提供专业化、全流程服务，着力培育带动力强、辐射面广的龙头企业和产业链核心企业。在确有发展需要且符合条件的中西部地区，优先增设一批综合保税区。切实推进国家级经济技术开发区“审批不出区”、“互联网+政务服务”和“最多跑一次”改革，创新完善企业服务体系，构建一流营商环境。（财政部、工业和信息化部、商务部、海关总署、税务总局、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八）支持地方加大对外资的招商引资力度。鼓励地方政府根据当地招商工作实际，制定考核激励政策，对招商部门、团队内非公务员岗位实行更加灵活的激励措施。鼓励地方政府在法定权限内合理设定招商引资工作经费额度与标准，对出境招商活动、团组申请等予以支持。（外交部、发展改革委、财政部、人力资源社会保障部、商务部、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九）抓好政策宣传解读。各地区、各部门要通过设立投资服务平台、政策咨询窗口等方式，积极开展政策宣传，深入企业宣讲政策，了解政策实施难点、堵点，全方位回应企业诉求，依法依规支持外商投资企业享受配套优惠政策，协助企业用足用好各项政策。（各有关部门、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黑体" w:hAnsi="黑体" w:eastAsia="黑体" w:cs="仿宋_GB2312"/>
          <w:color w:val="000000" w:themeColor="text1"/>
          <w:sz w:val="32"/>
          <w:szCs w:val="32"/>
          <w:shd w:val="clear" w:color="auto" w:fill="FFFFFF"/>
          <w14:textFill>
            <w14:solidFill>
              <w14:schemeClr w14:val="tx1"/>
            </w14:solidFill>
          </w14:textFill>
        </w:rPr>
      </w:pPr>
      <w:r>
        <w:rPr>
          <w:rFonts w:hint="eastAsia" w:ascii="黑体" w:hAnsi="黑体" w:eastAsia="黑体" w:cs="仿宋_GB2312"/>
          <w:color w:val="000000" w:themeColor="text1"/>
          <w:sz w:val="32"/>
          <w:szCs w:val="32"/>
          <w:shd w:val="clear" w:color="auto" w:fill="FFFFFF"/>
          <w14:textFill>
            <w14:solidFill>
              <w14:schemeClr w14:val="tx1"/>
            </w14:solidFill>
          </w14:textFill>
        </w:rPr>
        <w:t>三、深化投资便利化改革</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降低资金跨境使用成本。尽快出台具体措施，支持外商投资企业扩大人民币跨境使用。扩大资本项目收入支付便利化改革试点范围。推进企业发行外债登记制度改革，完善全口径跨境融资宏观审慎管理政策，支持外商投资企业自主选择借用外债模式，降低融资成本。鼓励外商投资企业资本金依法用于境内股权投资。（发展改革委、商务部、人民银行、外汇局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一）提高来华工作便利度。支持各地区根据本地经济发展需要，对于急需紧缺的创新创业人才、专业技能人才来华工作，可适当放宽年龄、学历或工作经历等限制。对有创新创业意愿的外国留学生，可凭中国高校毕业证书申请2年私人事务类居留许可。已连续两次申请办理工作类居留许可的外国人，可在第三次申请时按规定签发5年有效期的工作类居留许可。优化外国人申请来华工作许可办理流程，完善部门信息共享机制，探索整合外国人工作许可证和工作类居留许可。（外交部、科技部、人力资源社会保障部、移民局、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二）优化外资项目规划用地审批程序。持续深化规划用地“放管服”改革，加快外资项目落地进度。合并规划选址和用地预审，合并建设用地规划许可和用地批准，推进多测整合、多验合一，推进信息共享，简化报件审批材料。（自然资源部牵头，发展改革委、住房城乡建设部、商务部等部门和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黑体" w:hAnsi="黑体" w:eastAsia="黑体" w:cs="仿宋_GB2312"/>
          <w:color w:val="000000" w:themeColor="text1"/>
          <w:sz w:val="32"/>
          <w:szCs w:val="32"/>
          <w:shd w:val="clear" w:color="auto" w:fill="FFFFFF"/>
          <w14:textFill>
            <w14:solidFill>
              <w14:schemeClr w14:val="tx1"/>
            </w14:solidFill>
          </w14:textFill>
        </w:rPr>
      </w:pPr>
      <w:r>
        <w:rPr>
          <w:rFonts w:hint="eastAsia" w:ascii="黑体" w:hAnsi="黑体" w:eastAsia="黑体" w:cs="仿宋_GB2312"/>
          <w:color w:val="000000" w:themeColor="text1"/>
          <w:sz w:val="32"/>
          <w:szCs w:val="32"/>
          <w:shd w:val="clear" w:color="auto" w:fill="FFFFFF"/>
          <w14:textFill>
            <w14:solidFill>
              <w14:schemeClr w14:val="tx1"/>
            </w14:solidFill>
          </w14:textFill>
        </w:rPr>
        <w:t>四、保护外商投资合法权益</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三）全面贯彻外商投资法。外商投资法及其配套法规实施后，各地区、各部门要严格贯彻落实，进一步清理相关法规规定，抓紧制定完善具体实施办法和有关司法解释，做好解读和培训工作，确保外商投资法各项制度切实有效执行。（商务部、发展改革委、最高人民法院、司法部牵头，各部门、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四）保护外商投资企业合法权益。各地区应建立健全外商投资企业投诉受理机构，完善处理规则，规范处理程序，提高处理效率。各地区、各部门应严格遵照外商投资法、行政许可法等法律法规对外商投资实施行政许可，不得擅自改变行政许可范围、程序及标准等，行政机关及其工作人员不得通过行政许可、监督检查、行政强制等，强制或者变相强制外国投资者、外商投资企业转让技术。（商务部牵头，各部门、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五）强化监管政策执行规范性。优化监管方式，科学合理设定环境保护、安全生产等监管执法检查频次，降低外商投资企业合规成本。地方政府应依照大气污染防治法等有关法律法规规定采取重污染天气应急措施。指导各地在市场监管领域细化、量化行政处罚自由裁量标准。（生态环境部、应急部、市场监管总局等部门和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六）提高行政规范性文件制定透明度。各地区、各部门制定出台涉及外商投资的行政规范性文件，应当加强合法性审核。与外商投资企业生产经营活动密切相关的行政规范性文件，应当结合实际，合理确定公布到施行之间的时间，提高政策可预见性和透明度。（各部门、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七）发挥知识产权司法保护重要作用。充分发挥财产保全、证据保全、行为保全的制度效能，提高知识产权司法救济的及时性和便利性。优化涉及外商投资企业知识产权案件中对证据形式要件的要求，适用事实推定，合理减轻外方当事人的诉讼负担。依法加强保护商业秘密、合理分配举证责任，加大民事保护和刑事保护力度。依法集中、统一审理专利无效与侵权上诉案件，进一步提升审判质效。充分尊重知识产权的市场价值，积极运用惩罚性赔偿，加大对恶意侵权行为、重复侵权行为的打击力度。进一步完善技术调查官制度，加强技术类案件的多元事实查明机制建设。加强涉及标准必要专利的案件审理，保障公平竞争市场秩序。充分发挥知识产权案件多元化调解的作用，实质性解决纠纷。进一步统一知识产权案件诉讼证据和司法裁判标准，适时出台有关司法解释，发布指导性案例，持续提升知识产权司法审判工作规范化、科学化、国际化水平。（最高人民法院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八）完善知识产权保护工作机制。建立健全知识产权快速协同保护和信用联合惩戒机制，持续推进知识产权纠纷仲裁调解工作，构建完善知识产权纠纷多元化解决机制。完善注册商标撤销程序。健全地理标志保护制度。完善电子商务知识产权保护机制，完善电子商务平台专利侵权判定通知、移除规则，完善电子商务领域专利执法维权协作调度机制。积极运用标准化方法，加强知识产权保护。（商务部、市场监管总局、知识产权局、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九）支持参与标准制定。指导各地区、各部门全面落实内外资企业公平参与我国标准化工作，鼓励外商投资企业参与我国医疗器械、食品药品、信息化产品等标准制定，提高行业标准和技术规范制修订的科学性和透明度。（市场监管总局牵头，各部门、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保障依法平等参与政府采购。各地区、各部门在政府采购信息发布、供应商条件确定、评标标准等方面，不得对外商投资企业实行歧视待遇，不得限定供应商的所有制形式、组织形式、股权结构或者投资者国别，以及产品或服务品牌等。（财政部牵头，各部门、各省级人民政府按职责分工负责）</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地区、各部门要深入贯彻党中央、国务院关于稳外资工作的部署要求，充分认识当前进一步做好利用外资工作的重要意义，提高站位，主动作为，务求实效，狠抓各项政策措施落实。涉及修订或废止行政法规、国务院文件、经国务院批准的部门规章的，由原牵头起草部门或商务部会同有关部门报请国务院修订或废止。商务部要会同有关部门加强指导和协调，重大问题及时向国务院报告。</w:t>
      </w:r>
    </w:p>
    <w:p>
      <w:pPr>
        <w:pStyle w:val="2"/>
        <w:pageBreakBefore w:val="0"/>
        <w:widowControl/>
        <w:shd w:val="clear" w:color="auto" w:fill="FFFFFF"/>
        <w:kinsoku/>
        <w:wordWrap w:val="0"/>
        <w:overflowPunct/>
        <w:topLinePunct w:val="0"/>
        <w:autoSpaceDE/>
        <w:autoSpaceDN/>
        <w:bidi w:val="0"/>
        <w:adjustRightInd/>
        <w:spacing w:beforeAutospacing="0" w:afterAutospacing="0" w:line="440" w:lineRule="exact"/>
        <w:ind w:firstLine="640" w:firstLineChars="200"/>
        <w:jc w:val="righ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国务院  </w:t>
      </w:r>
      <w:r>
        <w:rPr>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p>
    <w:p>
      <w:pPr>
        <w:pStyle w:val="2"/>
        <w:pageBreakBefore w:val="0"/>
        <w:widowControl/>
        <w:shd w:val="clear" w:color="auto" w:fill="FFFFFF"/>
        <w:kinsoku/>
        <w:wordWrap w:val="0"/>
        <w:overflowPunct/>
        <w:topLinePunct w:val="0"/>
        <w:autoSpaceDE/>
        <w:autoSpaceDN/>
        <w:bidi w:val="0"/>
        <w:adjustRightInd/>
        <w:spacing w:beforeAutospacing="0" w:afterAutospacing="0" w:line="440" w:lineRule="exact"/>
        <w:ind w:firstLine="640" w:firstLineChars="200"/>
        <w:jc w:val="righ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2019年10月30日 </w:t>
      </w:r>
      <w:r>
        <w:rPr>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54C94"/>
    <w:rsid w:val="0EC5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2020-10-19T06:12:00Z</dcterms:created>
  <dc:creator>Administrator</dc:creator>
  <cp:lastModifiedBy>Administrator</cp:lastModifiedBy>
  <dcterms:modified xsi:type="dcterms:W3CDTF">2020-10-19T06:13:17Z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